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left="-320" w:leftChars="-100" w:right="-320" w:rightChars="-100"/>
        <w:jc w:val="center"/>
        <w:rPr>
          <w:rFonts w:hint="eastAsia" w:eastAsia="黑体"/>
          <w:sz w:val="48"/>
          <w:szCs w:val="48"/>
          <w:lang w:val="zh-CN"/>
        </w:rPr>
      </w:pPr>
      <w:r>
        <w:rPr>
          <w:rFonts w:hint="eastAsia" w:eastAsia="黑体"/>
          <w:sz w:val="48"/>
          <w:szCs w:val="48"/>
          <w:lang w:val="zh-CN"/>
        </w:rPr>
        <w:t>潜江市</w:t>
      </w:r>
      <w:r>
        <w:rPr>
          <w:rFonts w:eastAsia="黑体"/>
          <w:sz w:val="48"/>
          <w:szCs w:val="48"/>
          <w:lang w:val="zh-CN"/>
        </w:rPr>
        <w:t>人民法院</w:t>
      </w:r>
    </w:p>
    <w:p>
      <w:pPr>
        <w:autoSpaceDE w:val="0"/>
        <w:autoSpaceDN w:val="0"/>
        <w:adjustRightInd w:val="0"/>
        <w:ind w:left="-320" w:leftChars="-100" w:right="-320" w:rightChars="-100"/>
        <w:jc w:val="center"/>
        <w:rPr>
          <w:rFonts w:hint="eastAsia"/>
          <w:lang w:val="zh-CN"/>
        </w:rPr>
      </w:pPr>
      <w:r>
        <w:rPr>
          <w:rFonts w:eastAsia="黑体"/>
          <w:sz w:val="48"/>
          <w:szCs w:val="48"/>
          <w:lang w:val="zh-CN"/>
        </w:rPr>
        <w:t>20</w:t>
      </w:r>
      <w:r>
        <w:rPr>
          <w:rFonts w:hint="eastAsia" w:eastAsia="黑体"/>
          <w:sz w:val="48"/>
          <w:szCs w:val="48"/>
        </w:rPr>
        <w:t>21</w:t>
      </w:r>
      <w:r>
        <w:rPr>
          <w:rFonts w:eastAsia="黑体"/>
          <w:sz w:val="48"/>
          <w:szCs w:val="48"/>
          <w:lang w:val="zh-CN"/>
        </w:rPr>
        <w:t>年</w:t>
      </w:r>
      <w:r>
        <w:rPr>
          <w:rFonts w:hint="eastAsia" w:eastAsia="黑体"/>
          <w:sz w:val="48"/>
          <w:szCs w:val="48"/>
          <w:lang w:val="zh-CN"/>
        </w:rPr>
        <w:t>度</w:t>
      </w:r>
      <w:r>
        <w:rPr>
          <w:rFonts w:eastAsia="黑体"/>
          <w:sz w:val="48"/>
          <w:szCs w:val="48"/>
          <w:lang w:val="zh-CN"/>
        </w:rPr>
        <w:t>部门</w:t>
      </w:r>
      <w:r>
        <w:rPr>
          <w:rFonts w:hint="eastAsia" w:eastAsia="黑体"/>
          <w:sz w:val="48"/>
          <w:szCs w:val="48"/>
          <w:lang w:val="zh-CN"/>
        </w:rPr>
        <w:t>决算公开的说明</w:t>
      </w:r>
    </w:p>
    <w:sdt>
      <w:sdtPr>
        <w:rPr>
          <w:rFonts w:hint="eastAsia" w:ascii="黑体" w:hAnsi="黑体" w:eastAsia="黑体" w:cs="黑体"/>
          <w:kern w:val="2"/>
          <w:sz w:val="32"/>
          <w:szCs w:val="32"/>
          <w:lang w:val="en-US" w:eastAsia="zh-CN" w:bidi="ar-SA"/>
        </w:rPr>
        <w:id w:val="147455214"/>
        <w15:color w:val="DBDBDB"/>
        <w:docPartObj>
          <w:docPartGallery w:val="Table of Contents"/>
          <w:docPartUnique/>
        </w:docPartObj>
      </w:sdtPr>
      <w:sdtEndPr>
        <w:rPr>
          <w:rFonts w:hint="eastAsia" w:ascii="仿宋" w:hAnsi="仿宋" w:eastAsia="仿宋" w:cs="Times New Roman"/>
          <w:kern w:val="2"/>
          <w:sz w:val="32"/>
          <w:szCs w:val="32"/>
          <w:lang w:val="zh-CN"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kern w:val="2"/>
              <w:sz w:val="32"/>
              <w:szCs w:val="32"/>
              <w:lang w:val="en-US" w:eastAsia="zh-CN" w:bidi="ar-SA"/>
            </w:rPr>
          </w:pPr>
          <w:bookmarkStart w:id="0" w:name="_Toc17688"/>
        </w:p>
        <w:p>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pStyle w:val="7"/>
            <w:tabs>
              <w:tab w:val="right" w:leader="dot" w:pos="8306"/>
            </w:tabs>
          </w:pPr>
          <w:r>
            <w:rPr>
              <w:rFonts w:hint="eastAsia" w:ascii="仿宋" w:hAnsi="仿宋" w:eastAsia="仿宋"/>
              <w:b/>
              <w:szCs w:val="32"/>
              <w:lang w:val="zh-CN"/>
            </w:rPr>
            <w:fldChar w:fldCharType="begin"/>
          </w:r>
          <w:r>
            <w:rPr>
              <w:rFonts w:hint="eastAsia" w:ascii="仿宋" w:hAnsi="仿宋" w:eastAsia="仿宋"/>
              <w:b/>
              <w:szCs w:val="32"/>
              <w:lang w:val="zh-CN"/>
            </w:rPr>
            <w:instrText xml:space="preserve">TOC \o "1-3" \h \u </w:instrText>
          </w:r>
          <w:r>
            <w:rPr>
              <w:rFonts w:hint="eastAsia" w:ascii="仿宋" w:hAnsi="仿宋" w:eastAsia="仿宋"/>
              <w:b/>
              <w:szCs w:val="32"/>
              <w:lang w:val="zh-CN"/>
            </w:rPr>
            <w:fldChar w:fldCharType="separate"/>
          </w:r>
          <w:r>
            <w:rPr>
              <w:rFonts w:hint="eastAsia" w:ascii="仿宋" w:hAnsi="仿宋" w:eastAsia="仿宋"/>
              <w:b/>
              <w:bCs/>
              <w:szCs w:val="32"/>
              <w:lang w:val="zh-CN"/>
            </w:rPr>
            <w:fldChar w:fldCharType="begin"/>
          </w:r>
          <w:r>
            <w:rPr>
              <w:rFonts w:hint="eastAsia" w:ascii="仿宋" w:hAnsi="仿宋" w:eastAsia="仿宋"/>
              <w:b/>
              <w:bCs/>
              <w:szCs w:val="32"/>
              <w:lang w:val="zh-CN"/>
            </w:rPr>
            <w:instrText xml:space="preserve"> HYPERLINK \l _Toc18699 </w:instrText>
          </w:r>
          <w:r>
            <w:rPr>
              <w:rFonts w:hint="eastAsia" w:ascii="仿宋" w:hAnsi="仿宋" w:eastAsia="仿宋"/>
              <w:b/>
              <w:bCs/>
              <w:szCs w:val="32"/>
              <w:lang w:val="zh-CN"/>
            </w:rPr>
            <w:fldChar w:fldCharType="separate"/>
          </w:r>
          <w:r>
            <w:rPr>
              <w:rFonts w:hint="eastAsia" w:ascii="仿宋" w:hAnsi="仿宋" w:eastAsia="仿宋"/>
              <w:b/>
              <w:bCs/>
              <w:szCs w:val="32"/>
              <w:lang w:val="zh-CN"/>
            </w:rPr>
            <w:t>一、主要职责和机构设置</w:t>
          </w:r>
          <w:r>
            <w:rPr>
              <w:b/>
              <w:bCs/>
            </w:rPr>
            <w:tab/>
          </w:r>
          <w:r>
            <w:rPr>
              <w:b/>
              <w:bCs/>
            </w:rPr>
            <w:fldChar w:fldCharType="begin"/>
          </w:r>
          <w:r>
            <w:rPr>
              <w:b/>
              <w:bCs/>
            </w:rPr>
            <w:instrText xml:space="preserve"> PAGEREF _Toc18699 </w:instrText>
          </w:r>
          <w:r>
            <w:rPr>
              <w:b/>
              <w:bCs/>
            </w:rPr>
            <w:fldChar w:fldCharType="separate"/>
          </w:r>
          <w:r>
            <w:rPr>
              <w:b/>
              <w:bCs/>
            </w:rPr>
            <w:t>3</w:t>
          </w:r>
          <w:r>
            <w:rPr>
              <w:b/>
              <w:bCs/>
            </w:rPr>
            <w:fldChar w:fldCharType="end"/>
          </w:r>
          <w:r>
            <w:rPr>
              <w:rFonts w:hint="eastAsia" w:ascii="仿宋" w:hAnsi="仿宋" w:eastAsia="仿宋"/>
              <w:b/>
              <w:bCs/>
              <w:szCs w:val="32"/>
              <w:lang w:val="zh-CN"/>
            </w:rPr>
            <w:fldChar w:fldCharType="end"/>
          </w:r>
        </w:p>
        <w:p>
          <w:pPr>
            <w:pStyle w:val="8"/>
            <w:tabs>
              <w:tab w:val="right" w:leader="dot" w:pos="8306"/>
            </w:tabs>
          </w:pPr>
          <w:r>
            <w:rPr>
              <w:rFonts w:hint="eastAsia" w:ascii="仿宋" w:hAnsi="仿宋" w:eastAsia="仿宋"/>
              <w:szCs w:val="32"/>
              <w:lang w:val="zh-CN"/>
            </w:rPr>
            <w:fldChar w:fldCharType="begin"/>
          </w:r>
          <w:r>
            <w:rPr>
              <w:rFonts w:hint="eastAsia" w:ascii="仿宋" w:hAnsi="仿宋" w:eastAsia="仿宋"/>
              <w:szCs w:val="32"/>
              <w:lang w:val="zh-CN"/>
            </w:rPr>
            <w:instrText xml:space="preserve"> HYPERLINK \l _Toc11842 </w:instrText>
          </w:r>
          <w:r>
            <w:rPr>
              <w:rFonts w:hint="eastAsia" w:ascii="仿宋" w:hAnsi="仿宋" w:eastAsia="仿宋"/>
              <w:szCs w:val="32"/>
              <w:lang w:val="zh-CN"/>
            </w:rPr>
            <w:fldChar w:fldCharType="separate"/>
          </w:r>
          <w:r>
            <w:rPr>
              <w:rFonts w:hint="eastAsia" w:ascii="仿宋" w:hAnsi="仿宋" w:eastAsia="仿宋"/>
              <w:szCs w:val="32"/>
              <w:lang w:val="zh-CN"/>
            </w:rPr>
            <w:t>（一）主要职责</w:t>
          </w:r>
          <w:r>
            <w:tab/>
          </w:r>
          <w:r>
            <w:fldChar w:fldCharType="begin"/>
          </w:r>
          <w:r>
            <w:instrText xml:space="preserve"> PAGEREF _Toc11842 </w:instrText>
          </w:r>
          <w:r>
            <w:fldChar w:fldCharType="separate"/>
          </w:r>
          <w:r>
            <w:t>3</w:t>
          </w:r>
          <w:r>
            <w:fldChar w:fldCharType="end"/>
          </w:r>
          <w:r>
            <w:rPr>
              <w:rFonts w:hint="eastAsia" w:ascii="仿宋" w:hAnsi="仿宋" w:eastAsia="仿宋"/>
              <w:szCs w:val="32"/>
              <w:lang w:val="zh-CN"/>
            </w:rPr>
            <w:fldChar w:fldCharType="end"/>
          </w:r>
        </w:p>
        <w:p>
          <w:pPr>
            <w:pStyle w:val="8"/>
            <w:tabs>
              <w:tab w:val="right" w:leader="dot" w:pos="8306"/>
            </w:tabs>
          </w:pPr>
          <w:r>
            <w:rPr>
              <w:rFonts w:hint="eastAsia" w:ascii="仿宋" w:hAnsi="仿宋" w:eastAsia="仿宋"/>
              <w:szCs w:val="32"/>
              <w:lang w:val="zh-CN"/>
            </w:rPr>
            <w:fldChar w:fldCharType="begin"/>
          </w:r>
          <w:r>
            <w:rPr>
              <w:rFonts w:hint="eastAsia" w:ascii="仿宋" w:hAnsi="仿宋" w:eastAsia="仿宋"/>
              <w:szCs w:val="32"/>
              <w:lang w:val="zh-CN"/>
            </w:rPr>
            <w:instrText xml:space="preserve"> HYPERLINK \l _Toc3933 </w:instrText>
          </w:r>
          <w:r>
            <w:rPr>
              <w:rFonts w:hint="eastAsia" w:ascii="仿宋" w:hAnsi="仿宋" w:eastAsia="仿宋"/>
              <w:szCs w:val="32"/>
              <w:lang w:val="zh-CN"/>
            </w:rPr>
            <w:fldChar w:fldCharType="separate"/>
          </w:r>
          <w:r>
            <w:rPr>
              <w:rFonts w:hint="eastAsia" w:ascii="仿宋" w:hAnsi="仿宋" w:eastAsia="仿宋"/>
              <w:bCs/>
              <w:szCs w:val="32"/>
            </w:rPr>
            <w:t>（二）内部机构设置情况</w:t>
          </w:r>
          <w:r>
            <w:tab/>
          </w:r>
          <w:r>
            <w:fldChar w:fldCharType="begin"/>
          </w:r>
          <w:r>
            <w:instrText xml:space="preserve"> PAGEREF _Toc3933 </w:instrText>
          </w:r>
          <w:r>
            <w:fldChar w:fldCharType="separate"/>
          </w:r>
          <w:r>
            <w:t>3</w:t>
          </w:r>
          <w:r>
            <w:fldChar w:fldCharType="end"/>
          </w:r>
          <w:r>
            <w:rPr>
              <w:rFonts w:hint="eastAsia" w:ascii="仿宋" w:hAnsi="仿宋" w:eastAsia="仿宋"/>
              <w:szCs w:val="32"/>
              <w:lang w:val="zh-CN"/>
            </w:rPr>
            <w:fldChar w:fldCharType="end"/>
          </w:r>
        </w:p>
        <w:p>
          <w:pPr>
            <w:pStyle w:val="7"/>
            <w:tabs>
              <w:tab w:val="right" w:leader="dot" w:pos="8306"/>
            </w:tabs>
            <w:rPr>
              <w:b/>
              <w:bCs/>
            </w:rPr>
          </w:pPr>
          <w:r>
            <w:rPr>
              <w:rFonts w:hint="eastAsia" w:ascii="仿宋" w:hAnsi="仿宋" w:eastAsia="仿宋"/>
              <w:b/>
              <w:bCs/>
              <w:szCs w:val="32"/>
              <w:lang w:val="zh-CN"/>
            </w:rPr>
            <w:fldChar w:fldCharType="begin"/>
          </w:r>
          <w:r>
            <w:rPr>
              <w:rFonts w:hint="eastAsia" w:ascii="仿宋" w:hAnsi="仿宋" w:eastAsia="仿宋"/>
              <w:b/>
              <w:bCs/>
              <w:szCs w:val="32"/>
              <w:lang w:val="zh-CN"/>
            </w:rPr>
            <w:instrText xml:space="preserve"> HYPERLINK \l _Toc18166 </w:instrText>
          </w:r>
          <w:r>
            <w:rPr>
              <w:rFonts w:hint="eastAsia" w:ascii="仿宋" w:hAnsi="仿宋" w:eastAsia="仿宋"/>
              <w:b/>
              <w:bCs/>
              <w:szCs w:val="32"/>
              <w:lang w:val="zh-CN"/>
            </w:rPr>
            <w:fldChar w:fldCharType="separate"/>
          </w:r>
          <w:r>
            <w:rPr>
              <w:rFonts w:hint="eastAsia" w:ascii="仿宋" w:hAnsi="仿宋" w:eastAsia="仿宋"/>
              <w:b/>
              <w:bCs/>
              <w:szCs w:val="32"/>
              <w:lang w:val="zh-CN"/>
            </w:rPr>
            <w:t>二、2021年度部门决算收支情况</w:t>
          </w:r>
          <w:r>
            <w:rPr>
              <w:b/>
              <w:bCs/>
            </w:rPr>
            <w:tab/>
          </w:r>
          <w:r>
            <w:rPr>
              <w:b/>
              <w:bCs/>
            </w:rPr>
            <w:fldChar w:fldCharType="begin"/>
          </w:r>
          <w:r>
            <w:rPr>
              <w:b/>
              <w:bCs/>
            </w:rPr>
            <w:instrText xml:space="preserve"> PAGEREF _Toc18166 </w:instrText>
          </w:r>
          <w:r>
            <w:rPr>
              <w:b/>
              <w:bCs/>
            </w:rPr>
            <w:fldChar w:fldCharType="separate"/>
          </w:r>
          <w:r>
            <w:rPr>
              <w:b/>
              <w:bCs/>
            </w:rPr>
            <w:t>3</w:t>
          </w:r>
          <w:r>
            <w:rPr>
              <w:b/>
              <w:bCs/>
            </w:rPr>
            <w:fldChar w:fldCharType="end"/>
          </w:r>
          <w:r>
            <w:rPr>
              <w:rFonts w:hint="eastAsia" w:ascii="仿宋" w:hAnsi="仿宋" w:eastAsia="仿宋"/>
              <w:b/>
              <w:bCs/>
              <w:szCs w:val="32"/>
              <w:lang w:val="zh-CN"/>
            </w:rPr>
            <w:fldChar w:fldCharType="end"/>
          </w:r>
        </w:p>
        <w:p>
          <w:pPr>
            <w:pStyle w:val="8"/>
            <w:tabs>
              <w:tab w:val="right" w:leader="dot" w:pos="8306"/>
            </w:tabs>
          </w:pPr>
          <w:r>
            <w:rPr>
              <w:rFonts w:hint="eastAsia" w:ascii="仿宋" w:hAnsi="仿宋" w:eastAsia="仿宋"/>
              <w:szCs w:val="32"/>
              <w:lang w:val="zh-CN"/>
            </w:rPr>
            <w:fldChar w:fldCharType="begin"/>
          </w:r>
          <w:r>
            <w:rPr>
              <w:rFonts w:hint="eastAsia" w:ascii="仿宋" w:hAnsi="仿宋" w:eastAsia="仿宋"/>
              <w:szCs w:val="32"/>
              <w:lang w:val="zh-CN"/>
            </w:rPr>
            <w:instrText xml:space="preserve"> HYPERLINK \l _Toc10203 </w:instrText>
          </w:r>
          <w:r>
            <w:rPr>
              <w:rFonts w:hint="eastAsia" w:ascii="仿宋" w:hAnsi="仿宋" w:eastAsia="仿宋"/>
              <w:szCs w:val="32"/>
              <w:lang w:val="zh-CN"/>
            </w:rPr>
            <w:fldChar w:fldCharType="separate"/>
          </w:r>
          <w:r>
            <w:rPr>
              <w:rFonts w:hint="eastAsia" w:ascii="仿宋" w:hAnsi="仿宋" w:eastAsia="仿宋"/>
              <w:szCs w:val="32"/>
              <w:lang w:val="zh-CN"/>
            </w:rPr>
            <w:t>（一）收入支出决算总体情况</w:t>
          </w:r>
          <w:r>
            <w:tab/>
          </w:r>
          <w:r>
            <w:fldChar w:fldCharType="begin"/>
          </w:r>
          <w:r>
            <w:instrText xml:space="preserve"> PAGEREF _Toc10203 </w:instrText>
          </w:r>
          <w:r>
            <w:fldChar w:fldCharType="separate"/>
          </w:r>
          <w:r>
            <w:t>3</w:t>
          </w:r>
          <w:r>
            <w:fldChar w:fldCharType="end"/>
          </w:r>
          <w:r>
            <w:rPr>
              <w:rFonts w:hint="eastAsia" w:ascii="仿宋" w:hAnsi="仿宋" w:eastAsia="仿宋"/>
              <w:szCs w:val="32"/>
              <w:lang w:val="zh-CN"/>
            </w:rPr>
            <w:fldChar w:fldCharType="end"/>
          </w:r>
        </w:p>
        <w:p>
          <w:pPr>
            <w:pStyle w:val="8"/>
            <w:tabs>
              <w:tab w:val="right" w:leader="dot" w:pos="8306"/>
            </w:tabs>
          </w:pPr>
          <w:r>
            <w:rPr>
              <w:rFonts w:hint="eastAsia" w:ascii="仿宋" w:hAnsi="仿宋" w:eastAsia="仿宋"/>
              <w:szCs w:val="32"/>
              <w:lang w:val="zh-CN"/>
            </w:rPr>
            <w:fldChar w:fldCharType="begin"/>
          </w:r>
          <w:r>
            <w:rPr>
              <w:rFonts w:hint="eastAsia" w:ascii="仿宋" w:hAnsi="仿宋" w:eastAsia="仿宋"/>
              <w:szCs w:val="32"/>
              <w:lang w:val="zh-CN"/>
            </w:rPr>
            <w:instrText xml:space="preserve"> HYPERLINK \l _Toc25810 </w:instrText>
          </w:r>
          <w:r>
            <w:rPr>
              <w:rFonts w:hint="eastAsia" w:ascii="仿宋" w:hAnsi="仿宋" w:eastAsia="仿宋"/>
              <w:szCs w:val="32"/>
              <w:lang w:val="zh-CN"/>
            </w:rPr>
            <w:fldChar w:fldCharType="separate"/>
          </w:r>
          <w:r>
            <w:rPr>
              <w:rFonts w:hint="eastAsia" w:ascii="仿宋" w:hAnsi="仿宋" w:eastAsia="仿宋"/>
              <w:szCs w:val="32"/>
              <w:lang w:val="zh-CN"/>
            </w:rPr>
            <w:t>（二）财政拨款收入支出决算总体情况</w:t>
          </w:r>
          <w:r>
            <w:tab/>
          </w:r>
          <w:r>
            <w:fldChar w:fldCharType="begin"/>
          </w:r>
          <w:r>
            <w:instrText xml:space="preserve"> PAGEREF _Toc25810 </w:instrText>
          </w:r>
          <w:r>
            <w:fldChar w:fldCharType="separate"/>
          </w:r>
          <w:r>
            <w:t>4</w:t>
          </w:r>
          <w:r>
            <w:fldChar w:fldCharType="end"/>
          </w:r>
          <w:r>
            <w:rPr>
              <w:rFonts w:hint="eastAsia" w:ascii="仿宋" w:hAnsi="仿宋" w:eastAsia="仿宋"/>
              <w:szCs w:val="32"/>
              <w:lang w:val="zh-CN"/>
            </w:rPr>
            <w:fldChar w:fldCharType="end"/>
          </w:r>
        </w:p>
        <w:p>
          <w:pPr>
            <w:pStyle w:val="8"/>
            <w:tabs>
              <w:tab w:val="right" w:leader="dot" w:pos="8306"/>
            </w:tabs>
          </w:pPr>
          <w:r>
            <w:rPr>
              <w:rFonts w:hint="eastAsia" w:ascii="仿宋" w:hAnsi="仿宋" w:eastAsia="仿宋"/>
              <w:szCs w:val="32"/>
              <w:lang w:val="zh-CN"/>
            </w:rPr>
            <w:fldChar w:fldCharType="begin"/>
          </w:r>
          <w:r>
            <w:rPr>
              <w:rFonts w:hint="eastAsia" w:ascii="仿宋" w:hAnsi="仿宋" w:eastAsia="仿宋"/>
              <w:szCs w:val="32"/>
              <w:lang w:val="zh-CN"/>
            </w:rPr>
            <w:instrText xml:space="preserve"> HYPERLINK \l _Toc27369 </w:instrText>
          </w:r>
          <w:r>
            <w:rPr>
              <w:rFonts w:hint="eastAsia" w:ascii="仿宋" w:hAnsi="仿宋" w:eastAsia="仿宋"/>
              <w:szCs w:val="32"/>
              <w:lang w:val="zh-CN"/>
            </w:rPr>
            <w:fldChar w:fldCharType="separate"/>
          </w:r>
          <w:r>
            <w:rPr>
              <w:rFonts w:hint="eastAsia" w:ascii="仿宋" w:hAnsi="仿宋" w:eastAsia="仿宋"/>
              <w:szCs w:val="32"/>
              <w:lang w:val="zh-CN"/>
            </w:rPr>
            <w:t>（三）一般公共预算财政拨款基本支出决算情况</w:t>
          </w:r>
          <w:r>
            <w:tab/>
          </w:r>
          <w:r>
            <w:fldChar w:fldCharType="begin"/>
          </w:r>
          <w:r>
            <w:instrText xml:space="preserve"> PAGEREF _Toc27369 </w:instrText>
          </w:r>
          <w:r>
            <w:fldChar w:fldCharType="separate"/>
          </w:r>
          <w:r>
            <w:t>5</w:t>
          </w:r>
          <w:r>
            <w:fldChar w:fldCharType="end"/>
          </w:r>
          <w:r>
            <w:rPr>
              <w:rFonts w:hint="eastAsia" w:ascii="仿宋" w:hAnsi="仿宋" w:eastAsia="仿宋"/>
              <w:szCs w:val="32"/>
              <w:lang w:val="zh-CN"/>
            </w:rPr>
            <w:fldChar w:fldCharType="end"/>
          </w:r>
        </w:p>
        <w:p>
          <w:pPr>
            <w:pStyle w:val="7"/>
            <w:tabs>
              <w:tab w:val="right" w:leader="dot" w:pos="8306"/>
            </w:tabs>
            <w:rPr>
              <w:b/>
              <w:bCs/>
            </w:rPr>
          </w:pPr>
          <w:r>
            <w:rPr>
              <w:rFonts w:hint="eastAsia" w:ascii="仿宋" w:hAnsi="仿宋" w:eastAsia="仿宋"/>
              <w:b/>
              <w:bCs/>
              <w:szCs w:val="32"/>
              <w:lang w:val="zh-CN"/>
            </w:rPr>
            <w:fldChar w:fldCharType="begin"/>
          </w:r>
          <w:r>
            <w:rPr>
              <w:rFonts w:hint="eastAsia" w:ascii="仿宋" w:hAnsi="仿宋" w:eastAsia="仿宋"/>
              <w:b/>
              <w:bCs/>
              <w:szCs w:val="32"/>
              <w:lang w:val="zh-CN"/>
            </w:rPr>
            <w:instrText xml:space="preserve"> HYPERLINK \l _Toc19934 </w:instrText>
          </w:r>
          <w:r>
            <w:rPr>
              <w:rFonts w:hint="eastAsia" w:ascii="仿宋" w:hAnsi="仿宋" w:eastAsia="仿宋"/>
              <w:b/>
              <w:bCs/>
              <w:szCs w:val="32"/>
              <w:lang w:val="zh-CN"/>
            </w:rPr>
            <w:fldChar w:fldCharType="separate"/>
          </w:r>
          <w:r>
            <w:rPr>
              <w:rFonts w:hint="eastAsia" w:ascii="仿宋" w:hAnsi="仿宋" w:eastAsia="仿宋"/>
              <w:b/>
              <w:bCs/>
              <w:szCs w:val="32"/>
              <w:lang w:val="zh-CN"/>
            </w:rPr>
            <w:t>三、</w:t>
          </w:r>
          <w:r>
            <w:rPr>
              <w:rFonts w:hint="eastAsia" w:ascii="仿宋" w:hAnsi="仿宋" w:eastAsia="仿宋"/>
              <w:b/>
              <w:bCs/>
              <w:szCs w:val="32"/>
            </w:rPr>
            <w:t>关于“三公”经费支出说明</w:t>
          </w:r>
          <w:r>
            <w:rPr>
              <w:b/>
              <w:bCs/>
            </w:rPr>
            <w:tab/>
          </w:r>
          <w:r>
            <w:rPr>
              <w:b/>
              <w:bCs/>
            </w:rPr>
            <w:fldChar w:fldCharType="begin"/>
          </w:r>
          <w:r>
            <w:rPr>
              <w:b/>
              <w:bCs/>
            </w:rPr>
            <w:instrText xml:space="preserve"> PAGEREF _Toc19934 </w:instrText>
          </w:r>
          <w:r>
            <w:rPr>
              <w:b/>
              <w:bCs/>
            </w:rPr>
            <w:fldChar w:fldCharType="separate"/>
          </w:r>
          <w:r>
            <w:rPr>
              <w:b/>
              <w:bCs/>
            </w:rPr>
            <w:t>5</w:t>
          </w:r>
          <w:r>
            <w:rPr>
              <w:b/>
              <w:bCs/>
            </w:rPr>
            <w:fldChar w:fldCharType="end"/>
          </w:r>
          <w:r>
            <w:rPr>
              <w:rFonts w:hint="eastAsia" w:ascii="仿宋" w:hAnsi="仿宋" w:eastAsia="仿宋"/>
              <w:b/>
              <w:bCs/>
              <w:szCs w:val="32"/>
              <w:lang w:val="zh-CN"/>
            </w:rPr>
            <w:fldChar w:fldCharType="end"/>
          </w:r>
        </w:p>
        <w:p>
          <w:pPr>
            <w:pStyle w:val="7"/>
            <w:tabs>
              <w:tab w:val="right" w:leader="dot" w:pos="8306"/>
            </w:tabs>
            <w:rPr>
              <w:b/>
              <w:bCs/>
            </w:rPr>
          </w:pPr>
          <w:r>
            <w:rPr>
              <w:rFonts w:hint="eastAsia" w:ascii="仿宋" w:hAnsi="仿宋" w:eastAsia="仿宋"/>
              <w:b/>
              <w:bCs/>
              <w:szCs w:val="32"/>
              <w:lang w:val="zh-CN"/>
            </w:rPr>
            <w:fldChar w:fldCharType="begin"/>
          </w:r>
          <w:r>
            <w:rPr>
              <w:rFonts w:hint="eastAsia" w:ascii="仿宋" w:hAnsi="仿宋" w:eastAsia="仿宋"/>
              <w:b/>
              <w:bCs/>
              <w:szCs w:val="32"/>
              <w:lang w:val="zh-CN"/>
            </w:rPr>
            <w:instrText xml:space="preserve"> HYPERLINK \l _Toc198 </w:instrText>
          </w:r>
          <w:r>
            <w:rPr>
              <w:rFonts w:hint="eastAsia" w:ascii="仿宋" w:hAnsi="仿宋" w:eastAsia="仿宋"/>
              <w:b/>
              <w:bCs/>
              <w:szCs w:val="32"/>
              <w:lang w:val="zh-CN"/>
            </w:rPr>
            <w:fldChar w:fldCharType="separate"/>
          </w:r>
          <w:r>
            <w:rPr>
              <w:rFonts w:hint="eastAsia" w:ascii="仿宋" w:hAnsi="仿宋" w:eastAsia="仿宋"/>
              <w:b/>
              <w:bCs/>
              <w:szCs w:val="32"/>
            </w:rPr>
            <w:t>四、关于机关运行经费支出说明</w:t>
          </w:r>
          <w:r>
            <w:rPr>
              <w:b/>
              <w:bCs/>
            </w:rPr>
            <w:tab/>
          </w:r>
          <w:r>
            <w:rPr>
              <w:b/>
              <w:bCs/>
            </w:rPr>
            <w:fldChar w:fldCharType="begin"/>
          </w:r>
          <w:r>
            <w:rPr>
              <w:b/>
              <w:bCs/>
            </w:rPr>
            <w:instrText xml:space="preserve"> PAGEREF _Toc198 </w:instrText>
          </w:r>
          <w:r>
            <w:rPr>
              <w:b/>
              <w:bCs/>
            </w:rPr>
            <w:fldChar w:fldCharType="separate"/>
          </w:r>
          <w:r>
            <w:rPr>
              <w:b/>
              <w:bCs/>
            </w:rPr>
            <w:t>7</w:t>
          </w:r>
          <w:r>
            <w:rPr>
              <w:b/>
              <w:bCs/>
            </w:rPr>
            <w:fldChar w:fldCharType="end"/>
          </w:r>
          <w:r>
            <w:rPr>
              <w:rFonts w:hint="eastAsia" w:ascii="仿宋" w:hAnsi="仿宋" w:eastAsia="仿宋"/>
              <w:b/>
              <w:bCs/>
              <w:szCs w:val="32"/>
              <w:lang w:val="zh-CN"/>
            </w:rPr>
            <w:fldChar w:fldCharType="end"/>
          </w:r>
        </w:p>
        <w:p>
          <w:pPr>
            <w:pStyle w:val="7"/>
            <w:tabs>
              <w:tab w:val="right" w:leader="dot" w:pos="8306"/>
            </w:tabs>
          </w:pPr>
          <w:r>
            <w:rPr>
              <w:rFonts w:hint="eastAsia" w:ascii="仿宋" w:hAnsi="仿宋" w:eastAsia="仿宋"/>
              <w:b/>
              <w:bCs/>
              <w:szCs w:val="32"/>
              <w:lang w:val="zh-CN"/>
            </w:rPr>
            <w:fldChar w:fldCharType="begin"/>
          </w:r>
          <w:r>
            <w:rPr>
              <w:rFonts w:hint="eastAsia" w:ascii="仿宋" w:hAnsi="仿宋" w:eastAsia="仿宋"/>
              <w:b/>
              <w:bCs/>
              <w:szCs w:val="32"/>
              <w:lang w:val="zh-CN"/>
            </w:rPr>
            <w:instrText xml:space="preserve"> HYPERLINK \l _Toc25190 </w:instrText>
          </w:r>
          <w:r>
            <w:rPr>
              <w:rFonts w:hint="eastAsia" w:ascii="仿宋" w:hAnsi="仿宋" w:eastAsia="仿宋"/>
              <w:b/>
              <w:bCs/>
              <w:szCs w:val="32"/>
              <w:lang w:val="zh-CN"/>
            </w:rPr>
            <w:fldChar w:fldCharType="separate"/>
          </w:r>
          <w:r>
            <w:rPr>
              <w:rFonts w:hint="eastAsia" w:ascii="仿宋" w:hAnsi="仿宋" w:eastAsia="仿宋" w:cs="Times New Roman"/>
              <w:b/>
              <w:bCs/>
              <w:szCs w:val="32"/>
            </w:rPr>
            <w:t>五、一般公共预算财政拨款支出决算情况说明</w:t>
          </w:r>
          <w:r>
            <w:rPr>
              <w:b/>
              <w:bCs/>
            </w:rPr>
            <w:tab/>
          </w:r>
          <w:r>
            <w:rPr>
              <w:b/>
              <w:bCs/>
            </w:rPr>
            <w:fldChar w:fldCharType="begin"/>
          </w:r>
          <w:r>
            <w:rPr>
              <w:b/>
              <w:bCs/>
            </w:rPr>
            <w:instrText xml:space="preserve"> PAGEREF _Toc25190 </w:instrText>
          </w:r>
          <w:r>
            <w:rPr>
              <w:b/>
              <w:bCs/>
            </w:rPr>
            <w:fldChar w:fldCharType="separate"/>
          </w:r>
          <w:r>
            <w:rPr>
              <w:b/>
              <w:bCs/>
            </w:rPr>
            <w:t>7</w:t>
          </w:r>
          <w:r>
            <w:rPr>
              <w:b/>
              <w:bCs/>
            </w:rPr>
            <w:fldChar w:fldCharType="end"/>
          </w:r>
          <w:r>
            <w:rPr>
              <w:rFonts w:hint="eastAsia" w:ascii="仿宋" w:hAnsi="仿宋" w:eastAsia="仿宋"/>
              <w:b/>
              <w:bCs/>
              <w:szCs w:val="32"/>
              <w:lang w:val="zh-CN"/>
            </w:rPr>
            <w:fldChar w:fldCharType="end"/>
          </w:r>
        </w:p>
        <w:p>
          <w:pPr>
            <w:pStyle w:val="8"/>
            <w:tabs>
              <w:tab w:val="right" w:leader="dot" w:pos="8306"/>
            </w:tabs>
          </w:pPr>
          <w:r>
            <w:rPr>
              <w:rFonts w:hint="eastAsia" w:ascii="仿宋" w:hAnsi="仿宋" w:eastAsia="仿宋"/>
              <w:szCs w:val="32"/>
              <w:lang w:val="zh-CN"/>
            </w:rPr>
            <w:fldChar w:fldCharType="begin"/>
          </w:r>
          <w:r>
            <w:rPr>
              <w:rFonts w:hint="eastAsia" w:ascii="仿宋" w:hAnsi="仿宋" w:eastAsia="仿宋"/>
              <w:szCs w:val="32"/>
              <w:lang w:val="zh-CN"/>
            </w:rPr>
            <w:instrText xml:space="preserve"> HYPERLINK \l _Toc25964 </w:instrText>
          </w:r>
          <w:r>
            <w:rPr>
              <w:rFonts w:hint="eastAsia" w:ascii="仿宋" w:hAnsi="仿宋" w:eastAsia="仿宋"/>
              <w:szCs w:val="32"/>
              <w:lang w:val="zh-CN"/>
            </w:rPr>
            <w:fldChar w:fldCharType="separate"/>
          </w:r>
          <w:r>
            <w:rPr>
              <w:rFonts w:hint="eastAsia" w:ascii="仿宋" w:hAnsi="仿宋" w:eastAsia="仿宋" w:cs="Times New Roman"/>
              <w:szCs w:val="32"/>
              <w:lang w:val="zh-CN"/>
            </w:rPr>
            <w:t>（一）一般公共预算财政拨款支出决算总体情况</w:t>
          </w:r>
          <w:r>
            <w:tab/>
          </w:r>
          <w:r>
            <w:fldChar w:fldCharType="begin"/>
          </w:r>
          <w:r>
            <w:instrText xml:space="preserve"> PAGEREF _Toc25964 </w:instrText>
          </w:r>
          <w:r>
            <w:fldChar w:fldCharType="separate"/>
          </w:r>
          <w:r>
            <w:t>7</w:t>
          </w:r>
          <w:r>
            <w:fldChar w:fldCharType="end"/>
          </w:r>
          <w:r>
            <w:rPr>
              <w:rFonts w:hint="eastAsia" w:ascii="仿宋" w:hAnsi="仿宋" w:eastAsia="仿宋"/>
              <w:szCs w:val="32"/>
              <w:lang w:val="zh-CN"/>
            </w:rPr>
            <w:fldChar w:fldCharType="end"/>
          </w:r>
        </w:p>
        <w:p>
          <w:pPr>
            <w:pStyle w:val="8"/>
            <w:tabs>
              <w:tab w:val="right" w:leader="dot" w:pos="8306"/>
            </w:tabs>
            <w:rPr>
              <w:highlight w:val="none"/>
            </w:rPr>
          </w:pPr>
          <w:r>
            <w:rPr>
              <w:rFonts w:hint="eastAsia" w:ascii="仿宋" w:hAnsi="仿宋" w:eastAsia="仿宋"/>
              <w:szCs w:val="32"/>
              <w:highlight w:val="none"/>
              <w:lang w:val="zh-CN"/>
            </w:rPr>
            <w:fldChar w:fldCharType="begin"/>
          </w:r>
          <w:r>
            <w:rPr>
              <w:rFonts w:hint="eastAsia" w:ascii="仿宋" w:hAnsi="仿宋" w:eastAsia="仿宋"/>
              <w:szCs w:val="32"/>
              <w:highlight w:val="none"/>
              <w:lang w:val="zh-CN"/>
            </w:rPr>
            <w:instrText xml:space="preserve"> HYPERLINK \l _Toc24539 </w:instrText>
          </w:r>
          <w:r>
            <w:rPr>
              <w:rFonts w:hint="eastAsia" w:ascii="仿宋" w:hAnsi="仿宋" w:eastAsia="仿宋"/>
              <w:szCs w:val="32"/>
              <w:highlight w:val="none"/>
              <w:lang w:val="zh-CN"/>
            </w:rPr>
            <w:fldChar w:fldCharType="separate"/>
          </w:r>
          <w:r>
            <w:rPr>
              <w:rFonts w:hint="eastAsia" w:ascii="仿宋" w:hAnsi="仿宋" w:eastAsia="仿宋" w:cs="楷体_GB2312"/>
              <w:bCs/>
              <w:kern w:val="44"/>
              <w:szCs w:val="32"/>
              <w:highlight w:val="none"/>
            </w:rPr>
            <w:t>（二）一般公共预算财政拨款支出决算结构情况</w:t>
          </w:r>
          <w:r>
            <w:rPr>
              <w:highlight w:val="none"/>
            </w:rPr>
            <w:tab/>
          </w:r>
          <w:r>
            <w:rPr>
              <w:highlight w:val="none"/>
            </w:rPr>
            <w:fldChar w:fldCharType="begin"/>
          </w:r>
          <w:r>
            <w:rPr>
              <w:highlight w:val="none"/>
            </w:rPr>
            <w:instrText xml:space="preserve"> PAGEREF _Toc24539 </w:instrText>
          </w:r>
          <w:r>
            <w:rPr>
              <w:highlight w:val="none"/>
            </w:rPr>
            <w:fldChar w:fldCharType="separate"/>
          </w:r>
          <w:r>
            <w:rPr>
              <w:highlight w:val="none"/>
            </w:rPr>
            <w:t>8</w:t>
          </w:r>
          <w:r>
            <w:rPr>
              <w:highlight w:val="none"/>
            </w:rPr>
            <w:fldChar w:fldCharType="end"/>
          </w:r>
          <w:r>
            <w:rPr>
              <w:rFonts w:hint="eastAsia" w:ascii="仿宋" w:hAnsi="仿宋" w:eastAsia="仿宋"/>
              <w:szCs w:val="32"/>
              <w:highlight w:val="none"/>
              <w:lang w:val="zh-CN"/>
            </w:rPr>
            <w:fldChar w:fldCharType="end"/>
          </w:r>
        </w:p>
        <w:p>
          <w:pPr>
            <w:pStyle w:val="8"/>
            <w:tabs>
              <w:tab w:val="right" w:leader="dot" w:pos="8306"/>
            </w:tabs>
          </w:pPr>
          <w:r>
            <w:rPr>
              <w:rFonts w:hint="eastAsia" w:ascii="仿宋" w:hAnsi="仿宋" w:eastAsia="仿宋"/>
              <w:szCs w:val="32"/>
              <w:highlight w:val="none"/>
              <w:lang w:val="zh-CN"/>
            </w:rPr>
            <w:fldChar w:fldCharType="begin"/>
          </w:r>
          <w:r>
            <w:rPr>
              <w:rFonts w:hint="eastAsia" w:ascii="仿宋" w:hAnsi="仿宋" w:eastAsia="仿宋"/>
              <w:szCs w:val="32"/>
              <w:highlight w:val="none"/>
              <w:lang w:val="zh-CN"/>
            </w:rPr>
            <w:instrText xml:space="preserve"> HYPERLINK \l _Toc13434 </w:instrText>
          </w:r>
          <w:r>
            <w:rPr>
              <w:rFonts w:hint="eastAsia" w:ascii="仿宋" w:hAnsi="仿宋" w:eastAsia="仿宋"/>
              <w:szCs w:val="32"/>
              <w:highlight w:val="none"/>
              <w:lang w:val="zh-CN"/>
            </w:rPr>
            <w:fldChar w:fldCharType="separate"/>
          </w:r>
          <w:r>
            <w:rPr>
              <w:rFonts w:hint="eastAsia" w:ascii="仿宋" w:hAnsi="仿宋" w:eastAsia="仿宋" w:cs="楷体_GB2312"/>
              <w:bCs/>
              <w:kern w:val="44"/>
              <w:szCs w:val="32"/>
              <w:highlight w:val="none"/>
            </w:rPr>
            <w:t>（三）一般公共预算财政拨款支出决算具体情况</w:t>
          </w:r>
          <w:r>
            <w:rPr>
              <w:highlight w:val="none"/>
            </w:rPr>
            <w:tab/>
          </w:r>
          <w:r>
            <w:rPr>
              <w:highlight w:val="none"/>
            </w:rPr>
            <w:fldChar w:fldCharType="begin"/>
          </w:r>
          <w:r>
            <w:rPr>
              <w:highlight w:val="none"/>
            </w:rPr>
            <w:instrText xml:space="preserve"> PAGEREF _Toc13434 </w:instrText>
          </w:r>
          <w:r>
            <w:rPr>
              <w:highlight w:val="none"/>
            </w:rPr>
            <w:fldChar w:fldCharType="separate"/>
          </w:r>
          <w:r>
            <w:rPr>
              <w:highlight w:val="none"/>
            </w:rPr>
            <w:t>8</w:t>
          </w:r>
          <w:r>
            <w:rPr>
              <w:highlight w:val="none"/>
            </w:rPr>
            <w:fldChar w:fldCharType="end"/>
          </w:r>
          <w:r>
            <w:rPr>
              <w:rFonts w:hint="eastAsia" w:ascii="仿宋" w:hAnsi="仿宋" w:eastAsia="仿宋"/>
              <w:szCs w:val="32"/>
              <w:highlight w:val="none"/>
              <w:lang w:val="zh-CN"/>
            </w:rPr>
            <w:fldChar w:fldCharType="end"/>
          </w:r>
        </w:p>
        <w:p>
          <w:pPr>
            <w:pStyle w:val="7"/>
            <w:tabs>
              <w:tab w:val="right" w:leader="dot" w:pos="8306"/>
            </w:tabs>
            <w:rPr>
              <w:b/>
              <w:bCs/>
            </w:rPr>
          </w:pPr>
          <w:r>
            <w:rPr>
              <w:rFonts w:hint="eastAsia" w:ascii="仿宋" w:hAnsi="仿宋" w:eastAsia="仿宋"/>
              <w:b/>
              <w:bCs/>
              <w:szCs w:val="32"/>
              <w:lang w:val="zh-CN"/>
            </w:rPr>
            <w:fldChar w:fldCharType="begin"/>
          </w:r>
          <w:r>
            <w:rPr>
              <w:rFonts w:hint="eastAsia" w:ascii="仿宋" w:hAnsi="仿宋" w:eastAsia="仿宋"/>
              <w:b/>
              <w:bCs/>
              <w:szCs w:val="32"/>
              <w:lang w:val="zh-CN"/>
            </w:rPr>
            <w:instrText xml:space="preserve"> HYPERLINK \l _Toc16260 </w:instrText>
          </w:r>
          <w:r>
            <w:rPr>
              <w:rFonts w:hint="eastAsia" w:ascii="仿宋" w:hAnsi="仿宋" w:eastAsia="仿宋"/>
              <w:b/>
              <w:bCs/>
              <w:szCs w:val="32"/>
              <w:lang w:val="zh-CN"/>
            </w:rPr>
            <w:fldChar w:fldCharType="separate"/>
          </w:r>
          <w:r>
            <w:rPr>
              <w:rFonts w:hint="eastAsia" w:ascii="仿宋" w:hAnsi="仿宋" w:eastAsia="仿宋"/>
              <w:b/>
              <w:bCs/>
              <w:szCs w:val="32"/>
              <w:lang w:eastAsia="zh-CN"/>
            </w:rPr>
            <w:t>六</w:t>
          </w:r>
          <w:r>
            <w:rPr>
              <w:rFonts w:hint="eastAsia" w:ascii="仿宋" w:hAnsi="仿宋" w:eastAsia="仿宋"/>
              <w:b/>
              <w:bCs/>
              <w:szCs w:val="32"/>
            </w:rPr>
            <w:t>、关于政府采购支出说明</w:t>
          </w:r>
          <w:r>
            <w:rPr>
              <w:b/>
              <w:bCs/>
            </w:rPr>
            <w:tab/>
          </w:r>
          <w:r>
            <w:rPr>
              <w:b/>
              <w:bCs/>
            </w:rPr>
            <w:fldChar w:fldCharType="begin"/>
          </w:r>
          <w:r>
            <w:rPr>
              <w:b/>
              <w:bCs/>
            </w:rPr>
            <w:instrText xml:space="preserve"> PAGEREF _Toc16260 </w:instrText>
          </w:r>
          <w:r>
            <w:rPr>
              <w:b/>
              <w:bCs/>
            </w:rPr>
            <w:fldChar w:fldCharType="separate"/>
          </w:r>
          <w:r>
            <w:rPr>
              <w:b/>
              <w:bCs/>
            </w:rPr>
            <w:t>9</w:t>
          </w:r>
          <w:r>
            <w:rPr>
              <w:b/>
              <w:bCs/>
            </w:rPr>
            <w:fldChar w:fldCharType="end"/>
          </w:r>
          <w:r>
            <w:rPr>
              <w:rFonts w:hint="eastAsia" w:ascii="仿宋" w:hAnsi="仿宋" w:eastAsia="仿宋"/>
              <w:b/>
              <w:bCs/>
              <w:szCs w:val="32"/>
              <w:lang w:val="zh-CN"/>
            </w:rPr>
            <w:fldChar w:fldCharType="end"/>
          </w:r>
        </w:p>
        <w:p>
          <w:pPr>
            <w:pStyle w:val="7"/>
            <w:tabs>
              <w:tab w:val="right" w:leader="dot" w:pos="8306"/>
            </w:tabs>
            <w:rPr>
              <w:b/>
              <w:bCs/>
            </w:rPr>
          </w:pPr>
          <w:r>
            <w:rPr>
              <w:rFonts w:hint="eastAsia" w:ascii="仿宋" w:hAnsi="仿宋" w:eastAsia="仿宋"/>
              <w:b/>
              <w:bCs/>
              <w:szCs w:val="32"/>
              <w:lang w:val="zh-CN"/>
            </w:rPr>
            <w:fldChar w:fldCharType="begin"/>
          </w:r>
          <w:r>
            <w:rPr>
              <w:rFonts w:hint="eastAsia" w:ascii="仿宋" w:hAnsi="仿宋" w:eastAsia="仿宋"/>
              <w:b/>
              <w:bCs/>
              <w:szCs w:val="32"/>
              <w:lang w:val="zh-CN"/>
            </w:rPr>
            <w:instrText xml:space="preserve"> HYPERLINK \l _Toc17823 </w:instrText>
          </w:r>
          <w:r>
            <w:rPr>
              <w:rFonts w:hint="eastAsia" w:ascii="仿宋" w:hAnsi="仿宋" w:eastAsia="仿宋"/>
              <w:b/>
              <w:bCs/>
              <w:szCs w:val="32"/>
              <w:lang w:val="zh-CN"/>
            </w:rPr>
            <w:fldChar w:fldCharType="separate"/>
          </w:r>
          <w:r>
            <w:rPr>
              <w:rFonts w:hint="eastAsia" w:ascii="仿宋" w:hAnsi="仿宋" w:eastAsia="仿宋"/>
              <w:b/>
              <w:bCs/>
              <w:szCs w:val="32"/>
              <w:lang w:eastAsia="zh-CN"/>
            </w:rPr>
            <w:t>七</w:t>
          </w:r>
          <w:r>
            <w:rPr>
              <w:rFonts w:hint="eastAsia" w:ascii="仿宋" w:hAnsi="仿宋" w:eastAsia="仿宋"/>
              <w:b/>
              <w:bCs/>
              <w:szCs w:val="32"/>
            </w:rPr>
            <w:t>、关于国有资产占有情况说明</w:t>
          </w:r>
          <w:r>
            <w:rPr>
              <w:b/>
              <w:bCs/>
            </w:rPr>
            <w:tab/>
          </w:r>
          <w:r>
            <w:rPr>
              <w:b/>
              <w:bCs/>
            </w:rPr>
            <w:fldChar w:fldCharType="begin"/>
          </w:r>
          <w:r>
            <w:rPr>
              <w:b/>
              <w:bCs/>
            </w:rPr>
            <w:instrText xml:space="preserve"> PAGEREF _Toc17823 </w:instrText>
          </w:r>
          <w:r>
            <w:rPr>
              <w:b/>
              <w:bCs/>
            </w:rPr>
            <w:fldChar w:fldCharType="separate"/>
          </w:r>
          <w:r>
            <w:rPr>
              <w:b/>
              <w:bCs/>
            </w:rPr>
            <w:t>9</w:t>
          </w:r>
          <w:r>
            <w:rPr>
              <w:b/>
              <w:bCs/>
            </w:rPr>
            <w:fldChar w:fldCharType="end"/>
          </w:r>
          <w:r>
            <w:rPr>
              <w:rFonts w:hint="eastAsia" w:ascii="仿宋" w:hAnsi="仿宋" w:eastAsia="仿宋"/>
              <w:b/>
              <w:bCs/>
              <w:szCs w:val="32"/>
              <w:lang w:val="zh-CN"/>
            </w:rPr>
            <w:fldChar w:fldCharType="end"/>
          </w:r>
        </w:p>
        <w:p>
          <w:pPr>
            <w:pStyle w:val="7"/>
            <w:tabs>
              <w:tab w:val="right" w:leader="dot" w:pos="8306"/>
            </w:tabs>
          </w:pPr>
          <w:r>
            <w:rPr>
              <w:rFonts w:hint="eastAsia" w:ascii="仿宋" w:hAnsi="仿宋" w:eastAsia="仿宋"/>
              <w:b/>
              <w:bCs/>
              <w:szCs w:val="32"/>
              <w:lang w:val="zh-CN"/>
            </w:rPr>
            <w:fldChar w:fldCharType="begin"/>
          </w:r>
          <w:r>
            <w:rPr>
              <w:rFonts w:hint="eastAsia" w:ascii="仿宋" w:hAnsi="仿宋" w:eastAsia="仿宋"/>
              <w:b/>
              <w:bCs/>
              <w:szCs w:val="32"/>
              <w:lang w:val="zh-CN"/>
            </w:rPr>
            <w:instrText xml:space="preserve"> HYPERLINK \l _Toc14292 </w:instrText>
          </w:r>
          <w:r>
            <w:rPr>
              <w:rFonts w:hint="eastAsia" w:ascii="仿宋" w:hAnsi="仿宋" w:eastAsia="仿宋"/>
              <w:b/>
              <w:bCs/>
              <w:szCs w:val="32"/>
              <w:lang w:val="zh-CN"/>
            </w:rPr>
            <w:fldChar w:fldCharType="separate"/>
          </w:r>
          <w:r>
            <w:rPr>
              <w:rFonts w:hint="eastAsia" w:ascii="仿宋" w:hAnsi="仿宋" w:eastAsia="仿宋"/>
              <w:b/>
              <w:bCs/>
              <w:szCs w:val="32"/>
              <w:lang w:eastAsia="zh-CN"/>
            </w:rPr>
            <w:t>八</w:t>
          </w:r>
          <w:r>
            <w:rPr>
              <w:rFonts w:hint="eastAsia" w:ascii="仿宋" w:hAnsi="仿宋" w:eastAsia="仿宋"/>
              <w:b/>
              <w:bCs/>
              <w:szCs w:val="32"/>
            </w:rPr>
            <w:t>、关于2021年度预算绩效情况的说明</w:t>
          </w:r>
          <w:r>
            <w:rPr>
              <w:b/>
              <w:bCs/>
            </w:rPr>
            <w:tab/>
          </w:r>
          <w:r>
            <w:rPr>
              <w:b/>
              <w:bCs/>
            </w:rPr>
            <w:fldChar w:fldCharType="begin"/>
          </w:r>
          <w:r>
            <w:rPr>
              <w:b/>
              <w:bCs/>
            </w:rPr>
            <w:instrText xml:space="preserve"> PAGEREF _Toc14292 </w:instrText>
          </w:r>
          <w:r>
            <w:rPr>
              <w:b/>
              <w:bCs/>
            </w:rPr>
            <w:fldChar w:fldCharType="separate"/>
          </w:r>
          <w:r>
            <w:rPr>
              <w:b/>
              <w:bCs/>
            </w:rPr>
            <w:t>9</w:t>
          </w:r>
          <w:r>
            <w:rPr>
              <w:b/>
              <w:bCs/>
            </w:rPr>
            <w:fldChar w:fldCharType="end"/>
          </w:r>
          <w:r>
            <w:rPr>
              <w:rFonts w:hint="eastAsia" w:ascii="仿宋" w:hAnsi="仿宋" w:eastAsia="仿宋"/>
              <w:b/>
              <w:bCs/>
              <w:szCs w:val="32"/>
              <w:lang w:val="zh-CN"/>
            </w:rPr>
            <w:fldChar w:fldCharType="end"/>
          </w:r>
        </w:p>
        <w:p>
          <w:pPr>
            <w:pStyle w:val="8"/>
            <w:tabs>
              <w:tab w:val="right" w:leader="dot" w:pos="8306"/>
            </w:tabs>
          </w:pPr>
          <w:r>
            <w:rPr>
              <w:rFonts w:hint="eastAsia" w:ascii="仿宋" w:hAnsi="仿宋" w:eastAsia="仿宋"/>
              <w:szCs w:val="32"/>
              <w:lang w:val="zh-CN"/>
            </w:rPr>
            <w:fldChar w:fldCharType="begin"/>
          </w:r>
          <w:r>
            <w:rPr>
              <w:rFonts w:hint="eastAsia" w:ascii="仿宋" w:hAnsi="仿宋" w:eastAsia="仿宋"/>
              <w:szCs w:val="32"/>
              <w:lang w:val="zh-CN"/>
            </w:rPr>
            <w:instrText xml:space="preserve"> HYPERLINK \l _Toc9492 </w:instrText>
          </w:r>
          <w:r>
            <w:rPr>
              <w:rFonts w:hint="eastAsia" w:ascii="仿宋" w:hAnsi="仿宋" w:eastAsia="仿宋"/>
              <w:szCs w:val="32"/>
              <w:lang w:val="zh-CN"/>
            </w:rPr>
            <w:fldChar w:fldCharType="separate"/>
          </w:r>
          <w:r>
            <w:rPr>
              <w:rFonts w:hint="eastAsia" w:cs="楷体"/>
              <w:szCs w:val="32"/>
            </w:rPr>
            <w:t>（一）预算绩效管理工作开展情况</w:t>
          </w:r>
          <w:r>
            <w:tab/>
          </w:r>
          <w:r>
            <w:fldChar w:fldCharType="begin"/>
          </w:r>
          <w:r>
            <w:instrText xml:space="preserve"> PAGEREF _Toc9492 </w:instrText>
          </w:r>
          <w:r>
            <w:fldChar w:fldCharType="separate"/>
          </w:r>
          <w:r>
            <w:t>9</w:t>
          </w:r>
          <w:r>
            <w:fldChar w:fldCharType="end"/>
          </w:r>
          <w:r>
            <w:rPr>
              <w:rFonts w:hint="eastAsia" w:ascii="仿宋" w:hAnsi="仿宋" w:eastAsia="仿宋"/>
              <w:szCs w:val="32"/>
              <w:lang w:val="zh-CN"/>
            </w:rPr>
            <w:fldChar w:fldCharType="end"/>
          </w:r>
        </w:p>
        <w:p>
          <w:pPr>
            <w:pStyle w:val="8"/>
            <w:tabs>
              <w:tab w:val="right" w:leader="dot" w:pos="8306"/>
            </w:tabs>
          </w:pPr>
          <w:r>
            <w:rPr>
              <w:rFonts w:hint="eastAsia" w:ascii="仿宋" w:hAnsi="仿宋" w:eastAsia="仿宋"/>
              <w:szCs w:val="32"/>
              <w:lang w:val="zh-CN"/>
            </w:rPr>
            <w:fldChar w:fldCharType="begin"/>
          </w:r>
          <w:r>
            <w:rPr>
              <w:rFonts w:hint="eastAsia" w:ascii="仿宋" w:hAnsi="仿宋" w:eastAsia="仿宋"/>
              <w:szCs w:val="32"/>
              <w:lang w:val="zh-CN"/>
            </w:rPr>
            <w:instrText xml:space="preserve"> HYPERLINK \l _Toc23912 </w:instrText>
          </w:r>
          <w:r>
            <w:rPr>
              <w:rFonts w:hint="eastAsia" w:ascii="仿宋" w:hAnsi="仿宋" w:eastAsia="仿宋"/>
              <w:szCs w:val="32"/>
              <w:lang w:val="zh-CN"/>
            </w:rPr>
            <w:fldChar w:fldCharType="separate"/>
          </w:r>
          <w:r>
            <w:rPr>
              <w:rFonts w:hint="eastAsia" w:cs="楷体"/>
              <w:szCs w:val="32"/>
            </w:rPr>
            <w:t>（二）部门决算中项目绩效自评结果</w:t>
          </w:r>
          <w:r>
            <w:tab/>
          </w:r>
          <w:r>
            <w:fldChar w:fldCharType="begin"/>
          </w:r>
          <w:r>
            <w:instrText xml:space="preserve"> PAGEREF _Toc23912 </w:instrText>
          </w:r>
          <w:r>
            <w:fldChar w:fldCharType="separate"/>
          </w:r>
          <w:r>
            <w:t>10</w:t>
          </w:r>
          <w:r>
            <w:fldChar w:fldCharType="end"/>
          </w:r>
          <w:r>
            <w:rPr>
              <w:rFonts w:hint="eastAsia" w:ascii="仿宋" w:hAnsi="仿宋" w:eastAsia="仿宋"/>
              <w:szCs w:val="32"/>
              <w:lang w:val="zh-CN"/>
            </w:rPr>
            <w:fldChar w:fldCharType="end"/>
          </w:r>
        </w:p>
        <w:p>
          <w:pPr>
            <w:pStyle w:val="8"/>
            <w:tabs>
              <w:tab w:val="right" w:leader="dot" w:pos="8306"/>
            </w:tabs>
          </w:pPr>
          <w:r>
            <w:rPr>
              <w:rFonts w:hint="eastAsia" w:ascii="仿宋" w:hAnsi="仿宋" w:eastAsia="仿宋"/>
              <w:szCs w:val="32"/>
              <w:lang w:val="zh-CN"/>
            </w:rPr>
            <w:fldChar w:fldCharType="begin"/>
          </w:r>
          <w:r>
            <w:rPr>
              <w:rFonts w:hint="eastAsia" w:ascii="仿宋" w:hAnsi="仿宋" w:eastAsia="仿宋"/>
              <w:szCs w:val="32"/>
              <w:lang w:val="zh-CN"/>
            </w:rPr>
            <w:instrText xml:space="preserve"> HYPERLINK \l _Toc4389 </w:instrText>
          </w:r>
          <w:r>
            <w:rPr>
              <w:rFonts w:hint="eastAsia" w:ascii="仿宋" w:hAnsi="仿宋" w:eastAsia="仿宋"/>
              <w:szCs w:val="32"/>
              <w:lang w:val="zh-CN"/>
            </w:rPr>
            <w:fldChar w:fldCharType="separate"/>
          </w:r>
          <w:r>
            <w:rPr>
              <w:rFonts w:hint="eastAsia" w:cs="楷体"/>
              <w:szCs w:val="32"/>
            </w:rPr>
            <w:t>（三）绩效评价结果应用情况</w:t>
          </w:r>
          <w:r>
            <w:tab/>
          </w:r>
          <w:r>
            <w:fldChar w:fldCharType="begin"/>
          </w:r>
          <w:r>
            <w:instrText xml:space="preserve"> PAGEREF _Toc4389 </w:instrText>
          </w:r>
          <w:r>
            <w:fldChar w:fldCharType="separate"/>
          </w:r>
          <w:r>
            <w:t>11</w:t>
          </w:r>
          <w:r>
            <w:fldChar w:fldCharType="end"/>
          </w:r>
          <w:r>
            <w:rPr>
              <w:rFonts w:hint="eastAsia" w:ascii="仿宋" w:hAnsi="仿宋" w:eastAsia="仿宋"/>
              <w:szCs w:val="32"/>
              <w:lang w:val="zh-CN"/>
            </w:rPr>
            <w:fldChar w:fldCharType="end"/>
          </w:r>
        </w:p>
        <w:p>
          <w:pPr>
            <w:pStyle w:val="7"/>
            <w:tabs>
              <w:tab w:val="right" w:leader="dot" w:pos="8306"/>
            </w:tabs>
            <w:rPr>
              <w:b/>
              <w:bCs/>
            </w:rPr>
          </w:pPr>
          <w:r>
            <w:rPr>
              <w:rFonts w:hint="eastAsia" w:ascii="仿宋" w:hAnsi="仿宋" w:eastAsia="仿宋"/>
              <w:b/>
              <w:bCs/>
              <w:szCs w:val="32"/>
              <w:lang w:val="zh-CN"/>
            </w:rPr>
            <w:fldChar w:fldCharType="begin"/>
          </w:r>
          <w:r>
            <w:rPr>
              <w:rFonts w:hint="eastAsia" w:ascii="仿宋" w:hAnsi="仿宋" w:eastAsia="仿宋"/>
              <w:b/>
              <w:bCs/>
              <w:szCs w:val="32"/>
              <w:lang w:val="zh-CN"/>
            </w:rPr>
            <w:instrText xml:space="preserve"> HYPERLINK \l _Toc2292 </w:instrText>
          </w:r>
          <w:r>
            <w:rPr>
              <w:rFonts w:hint="eastAsia" w:ascii="仿宋" w:hAnsi="仿宋" w:eastAsia="仿宋"/>
              <w:b/>
              <w:bCs/>
              <w:szCs w:val="32"/>
              <w:lang w:val="zh-CN"/>
            </w:rPr>
            <w:fldChar w:fldCharType="separate"/>
          </w:r>
          <w:r>
            <w:rPr>
              <w:rFonts w:hint="eastAsia" w:ascii="仿宋" w:hAnsi="仿宋" w:eastAsia="仿宋"/>
              <w:b/>
              <w:bCs/>
              <w:szCs w:val="32"/>
              <w:lang w:eastAsia="zh-CN"/>
            </w:rPr>
            <w:t>九</w:t>
          </w:r>
          <w:r>
            <w:rPr>
              <w:rFonts w:hint="eastAsia" w:ascii="仿宋" w:hAnsi="仿宋" w:eastAsia="仿宋"/>
              <w:b/>
              <w:bCs/>
              <w:szCs w:val="32"/>
            </w:rPr>
            <w:t>、其他需要说明的事项</w:t>
          </w:r>
          <w:r>
            <w:rPr>
              <w:b/>
              <w:bCs/>
            </w:rPr>
            <w:tab/>
          </w:r>
          <w:r>
            <w:rPr>
              <w:b/>
              <w:bCs/>
            </w:rPr>
            <w:fldChar w:fldCharType="begin"/>
          </w:r>
          <w:r>
            <w:rPr>
              <w:b/>
              <w:bCs/>
            </w:rPr>
            <w:instrText xml:space="preserve"> PAGEREF _Toc2292 </w:instrText>
          </w:r>
          <w:r>
            <w:rPr>
              <w:b/>
              <w:bCs/>
            </w:rPr>
            <w:fldChar w:fldCharType="separate"/>
          </w:r>
          <w:r>
            <w:rPr>
              <w:b/>
              <w:bCs/>
            </w:rPr>
            <w:t>12</w:t>
          </w:r>
          <w:r>
            <w:rPr>
              <w:b/>
              <w:bCs/>
            </w:rPr>
            <w:fldChar w:fldCharType="end"/>
          </w:r>
          <w:r>
            <w:rPr>
              <w:rFonts w:hint="eastAsia" w:ascii="仿宋" w:hAnsi="仿宋" w:eastAsia="仿宋"/>
              <w:b/>
              <w:bCs/>
              <w:szCs w:val="32"/>
              <w:lang w:val="zh-CN"/>
            </w:rPr>
            <w:fldChar w:fldCharType="end"/>
          </w:r>
        </w:p>
        <w:p>
          <w:pPr>
            <w:pStyle w:val="7"/>
            <w:tabs>
              <w:tab w:val="right" w:leader="dot" w:pos="8306"/>
            </w:tabs>
          </w:pPr>
          <w:r>
            <w:rPr>
              <w:rFonts w:hint="eastAsia" w:ascii="仿宋" w:hAnsi="仿宋" w:eastAsia="仿宋"/>
              <w:b/>
              <w:bCs/>
              <w:szCs w:val="32"/>
              <w:lang w:val="zh-CN"/>
            </w:rPr>
            <w:fldChar w:fldCharType="begin"/>
          </w:r>
          <w:r>
            <w:rPr>
              <w:rFonts w:hint="eastAsia" w:ascii="仿宋" w:hAnsi="仿宋" w:eastAsia="仿宋"/>
              <w:b/>
              <w:bCs/>
              <w:szCs w:val="32"/>
              <w:lang w:val="zh-CN"/>
            </w:rPr>
            <w:instrText xml:space="preserve"> HYPERLINK \l _Toc11491 </w:instrText>
          </w:r>
          <w:r>
            <w:rPr>
              <w:rFonts w:hint="eastAsia" w:ascii="仿宋" w:hAnsi="仿宋" w:eastAsia="仿宋"/>
              <w:b/>
              <w:bCs/>
              <w:szCs w:val="32"/>
              <w:lang w:val="zh-CN"/>
            </w:rPr>
            <w:fldChar w:fldCharType="separate"/>
          </w:r>
          <w:r>
            <w:rPr>
              <w:rFonts w:hint="eastAsia" w:ascii="仿宋" w:hAnsi="仿宋" w:eastAsia="仿宋"/>
              <w:b/>
              <w:bCs/>
              <w:szCs w:val="32"/>
              <w:lang w:eastAsia="zh-CN"/>
            </w:rPr>
            <w:t>十</w:t>
          </w:r>
          <w:r>
            <w:rPr>
              <w:rFonts w:hint="eastAsia" w:ascii="仿宋" w:hAnsi="仿宋" w:eastAsia="仿宋"/>
              <w:b/>
              <w:bCs/>
              <w:szCs w:val="32"/>
            </w:rPr>
            <w:t>、专业名词解释</w:t>
          </w:r>
          <w:r>
            <w:rPr>
              <w:b/>
              <w:bCs/>
            </w:rPr>
            <w:tab/>
          </w:r>
          <w:r>
            <w:rPr>
              <w:b/>
              <w:bCs/>
            </w:rPr>
            <w:fldChar w:fldCharType="begin"/>
          </w:r>
          <w:r>
            <w:rPr>
              <w:b/>
              <w:bCs/>
            </w:rPr>
            <w:instrText xml:space="preserve"> PAGEREF _Toc11491 </w:instrText>
          </w:r>
          <w:r>
            <w:rPr>
              <w:b/>
              <w:bCs/>
            </w:rPr>
            <w:fldChar w:fldCharType="separate"/>
          </w:r>
          <w:r>
            <w:rPr>
              <w:b/>
              <w:bCs/>
            </w:rPr>
            <w:t>12</w:t>
          </w:r>
          <w:r>
            <w:rPr>
              <w:b/>
              <w:bCs/>
            </w:rPr>
            <w:fldChar w:fldCharType="end"/>
          </w:r>
          <w:r>
            <w:rPr>
              <w:rFonts w:hint="eastAsia" w:ascii="仿宋" w:hAnsi="仿宋" w:eastAsia="仿宋"/>
              <w:b/>
              <w:bCs/>
              <w:szCs w:val="32"/>
              <w:lang w:val="zh-CN"/>
            </w:rPr>
            <w:fldChar w:fldCharType="end"/>
          </w:r>
        </w:p>
        <w:p>
          <w:pPr>
            <w:autoSpaceDE w:val="0"/>
            <w:autoSpaceDN w:val="0"/>
            <w:adjustRightInd w:val="0"/>
            <w:ind w:left="-320" w:leftChars="-100" w:right="-320" w:rightChars="-100" w:firstLine="627" w:firstLineChars="196"/>
            <w:outlineLvl w:val="0"/>
            <w:rPr>
              <w:rFonts w:hint="eastAsia" w:ascii="仿宋" w:hAnsi="仿宋" w:eastAsia="仿宋"/>
              <w:b/>
              <w:szCs w:val="32"/>
              <w:lang w:val="zh-CN"/>
            </w:rPr>
          </w:pPr>
          <w:r>
            <w:rPr>
              <w:rFonts w:hint="eastAsia" w:ascii="仿宋" w:hAnsi="仿宋" w:eastAsia="仿宋"/>
              <w:szCs w:val="32"/>
              <w:lang w:val="zh-CN"/>
            </w:rPr>
            <w:fldChar w:fldCharType="end"/>
          </w:r>
        </w:p>
      </w:sdtContent>
    </w:sdt>
    <w:p>
      <w:pPr>
        <w:autoSpaceDE w:val="0"/>
        <w:autoSpaceDN w:val="0"/>
        <w:adjustRightInd w:val="0"/>
        <w:ind w:left="-320" w:leftChars="-100" w:right="-320" w:rightChars="-100" w:firstLine="630" w:firstLineChars="196"/>
        <w:outlineLvl w:val="0"/>
        <w:rPr>
          <w:rFonts w:hint="eastAsia" w:ascii="仿宋" w:hAnsi="仿宋" w:eastAsia="仿宋"/>
          <w:b/>
          <w:szCs w:val="32"/>
          <w:lang w:val="zh-CN"/>
        </w:rPr>
      </w:pPr>
      <w:bookmarkStart w:id="1" w:name="_Toc18699"/>
    </w:p>
    <w:p>
      <w:pPr>
        <w:autoSpaceDE w:val="0"/>
        <w:autoSpaceDN w:val="0"/>
        <w:adjustRightInd w:val="0"/>
        <w:ind w:left="-320" w:leftChars="-100" w:right="-320" w:rightChars="-100" w:firstLine="630" w:firstLineChars="196"/>
        <w:outlineLvl w:val="0"/>
        <w:rPr>
          <w:rFonts w:hint="eastAsia" w:ascii="仿宋" w:hAnsi="仿宋" w:eastAsia="仿宋"/>
          <w:b/>
          <w:szCs w:val="32"/>
          <w:lang w:val="zh-CN"/>
        </w:rPr>
      </w:pPr>
    </w:p>
    <w:p>
      <w:pPr>
        <w:autoSpaceDE w:val="0"/>
        <w:autoSpaceDN w:val="0"/>
        <w:adjustRightInd w:val="0"/>
        <w:ind w:left="-320" w:leftChars="-100" w:right="-320" w:rightChars="-100" w:firstLine="630" w:firstLineChars="196"/>
        <w:outlineLvl w:val="0"/>
        <w:rPr>
          <w:rFonts w:hint="eastAsia" w:ascii="仿宋" w:hAnsi="仿宋" w:eastAsia="仿宋"/>
          <w:b/>
          <w:szCs w:val="32"/>
          <w:lang w:val="zh-CN"/>
        </w:rPr>
      </w:pPr>
    </w:p>
    <w:p>
      <w:pPr>
        <w:autoSpaceDE w:val="0"/>
        <w:autoSpaceDN w:val="0"/>
        <w:adjustRightInd w:val="0"/>
        <w:ind w:left="-320" w:leftChars="-100" w:right="-320" w:rightChars="-100" w:firstLine="630" w:firstLineChars="196"/>
        <w:outlineLvl w:val="0"/>
        <w:rPr>
          <w:rFonts w:hint="eastAsia" w:ascii="仿宋" w:hAnsi="仿宋" w:eastAsia="仿宋"/>
          <w:b/>
          <w:szCs w:val="32"/>
          <w:lang w:val="zh-CN"/>
        </w:rPr>
      </w:pPr>
    </w:p>
    <w:p>
      <w:pPr>
        <w:autoSpaceDE w:val="0"/>
        <w:autoSpaceDN w:val="0"/>
        <w:adjustRightInd w:val="0"/>
        <w:ind w:left="-320" w:leftChars="-100" w:right="-320" w:rightChars="-100" w:firstLine="630" w:firstLineChars="196"/>
        <w:outlineLvl w:val="0"/>
        <w:rPr>
          <w:rFonts w:hint="eastAsia" w:ascii="仿宋" w:hAnsi="仿宋" w:eastAsia="仿宋"/>
          <w:b/>
          <w:szCs w:val="32"/>
          <w:lang w:val="zh-CN"/>
        </w:rPr>
      </w:pPr>
    </w:p>
    <w:p>
      <w:pPr>
        <w:autoSpaceDE w:val="0"/>
        <w:autoSpaceDN w:val="0"/>
        <w:adjustRightInd w:val="0"/>
        <w:ind w:left="-320" w:leftChars="-100" w:right="-320" w:rightChars="-100" w:firstLine="630" w:firstLineChars="196"/>
        <w:outlineLvl w:val="0"/>
        <w:rPr>
          <w:rFonts w:hint="eastAsia" w:ascii="仿宋" w:hAnsi="仿宋" w:eastAsia="仿宋"/>
          <w:b/>
          <w:szCs w:val="32"/>
          <w:lang w:val="zh-CN"/>
        </w:rPr>
      </w:pPr>
    </w:p>
    <w:p>
      <w:pPr>
        <w:autoSpaceDE w:val="0"/>
        <w:autoSpaceDN w:val="0"/>
        <w:adjustRightInd w:val="0"/>
        <w:ind w:left="-320" w:leftChars="-100" w:right="-320" w:rightChars="-100" w:firstLine="630" w:firstLineChars="196"/>
        <w:outlineLvl w:val="0"/>
        <w:rPr>
          <w:rFonts w:hint="eastAsia" w:ascii="仿宋" w:hAnsi="仿宋" w:eastAsia="仿宋"/>
          <w:b/>
          <w:szCs w:val="32"/>
          <w:lang w:val="zh-CN"/>
        </w:rPr>
      </w:pPr>
    </w:p>
    <w:p>
      <w:pPr>
        <w:autoSpaceDE w:val="0"/>
        <w:autoSpaceDN w:val="0"/>
        <w:adjustRightInd w:val="0"/>
        <w:ind w:left="-320" w:leftChars="-100" w:right="-320" w:rightChars="-100" w:firstLine="630" w:firstLineChars="196"/>
        <w:outlineLvl w:val="0"/>
        <w:rPr>
          <w:rFonts w:hint="eastAsia" w:ascii="仿宋" w:hAnsi="仿宋" w:eastAsia="仿宋"/>
          <w:b/>
          <w:szCs w:val="32"/>
          <w:lang w:val="zh-CN"/>
        </w:rPr>
      </w:pPr>
    </w:p>
    <w:p>
      <w:pPr>
        <w:autoSpaceDE w:val="0"/>
        <w:autoSpaceDN w:val="0"/>
        <w:adjustRightInd w:val="0"/>
        <w:ind w:left="-320" w:leftChars="-100" w:right="-320" w:rightChars="-100" w:firstLine="630" w:firstLineChars="196"/>
        <w:outlineLvl w:val="0"/>
        <w:rPr>
          <w:rFonts w:hint="eastAsia" w:ascii="仿宋" w:hAnsi="仿宋" w:eastAsia="仿宋"/>
          <w:b/>
          <w:szCs w:val="32"/>
          <w:lang w:val="zh-CN"/>
        </w:rPr>
      </w:pPr>
    </w:p>
    <w:p>
      <w:pPr>
        <w:autoSpaceDE w:val="0"/>
        <w:autoSpaceDN w:val="0"/>
        <w:adjustRightInd w:val="0"/>
        <w:ind w:left="-320" w:leftChars="-100" w:right="-320" w:rightChars="-100" w:firstLine="630" w:firstLineChars="196"/>
        <w:outlineLvl w:val="0"/>
        <w:rPr>
          <w:rFonts w:hint="eastAsia" w:ascii="仿宋" w:hAnsi="仿宋" w:eastAsia="仿宋"/>
          <w:b/>
          <w:szCs w:val="32"/>
          <w:lang w:val="zh-CN"/>
        </w:rPr>
      </w:pPr>
    </w:p>
    <w:p>
      <w:pPr>
        <w:autoSpaceDE w:val="0"/>
        <w:autoSpaceDN w:val="0"/>
        <w:adjustRightInd w:val="0"/>
        <w:ind w:left="-320" w:leftChars="-100" w:right="-320" w:rightChars="-100" w:firstLine="630" w:firstLineChars="196"/>
        <w:outlineLvl w:val="0"/>
        <w:rPr>
          <w:rFonts w:hint="eastAsia" w:ascii="仿宋" w:hAnsi="仿宋" w:eastAsia="仿宋"/>
          <w:b/>
          <w:szCs w:val="32"/>
          <w:lang w:val="zh-CN"/>
        </w:rPr>
      </w:pPr>
    </w:p>
    <w:p>
      <w:pPr>
        <w:autoSpaceDE w:val="0"/>
        <w:autoSpaceDN w:val="0"/>
        <w:adjustRightInd w:val="0"/>
        <w:ind w:left="-320" w:leftChars="-100" w:right="-320" w:rightChars="-100" w:firstLine="630" w:firstLineChars="196"/>
        <w:outlineLvl w:val="0"/>
        <w:rPr>
          <w:rFonts w:hint="eastAsia" w:ascii="仿宋" w:hAnsi="仿宋" w:eastAsia="仿宋"/>
          <w:b/>
          <w:szCs w:val="32"/>
          <w:lang w:val="zh-CN"/>
        </w:rPr>
      </w:pPr>
    </w:p>
    <w:p>
      <w:pPr>
        <w:autoSpaceDE w:val="0"/>
        <w:autoSpaceDN w:val="0"/>
        <w:adjustRightInd w:val="0"/>
        <w:ind w:left="-320" w:leftChars="-100" w:right="-320" w:rightChars="-100" w:firstLine="630" w:firstLineChars="196"/>
        <w:outlineLvl w:val="0"/>
        <w:rPr>
          <w:rFonts w:hint="eastAsia" w:ascii="仿宋" w:hAnsi="仿宋" w:eastAsia="仿宋"/>
          <w:b/>
          <w:szCs w:val="32"/>
          <w:lang w:val="zh-CN"/>
        </w:rPr>
      </w:pPr>
    </w:p>
    <w:p>
      <w:pPr>
        <w:autoSpaceDE w:val="0"/>
        <w:autoSpaceDN w:val="0"/>
        <w:adjustRightInd w:val="0"/>
        <w:ind w:left="-320" w:leftChars="-100" w:right="-320" w:rightChars="-100" w:firstLine="630" w:firstLineChars="196"/>
        <w:outlineLvl w:val="0"/>
        <w:rPr>
          <w:rFonts w:hint="eastAsia" w:ascii="仿宋" w:hAnsi="仿宋" w:eastAsia="仿宋"/>
          <w:b/>
          <w:szCs w:val="32"/>
          <w:lang w:val="zh-CN"/>
        </w:rPr>
      </w:pPr>
    </w:p>
    <w:p>
      <w:pPr>
        <w:autoSpaceDE w:val="0"/>
        <w:autoSpaceDN w:val="0"/>
        <w:adjustRightInd w:val="0"/>
        <w:ind w:left="-320" w:leftChars="-100" w:right="-320" w:rightChars="-100" w:firstLine="630" w:firstLineChars="196"/>
        <w:outlineLvl w:val="0"/>
        <w:rPr>
          <w:rFonts w:hint="eastAsia" w:ascii="仿宋" w:hAnsi="仿宋" w:eastAsia="仿宋"/>
          <w:b/>
          <w:szCs w:val="32"/>
          <w:lang w:val="zh-CN"/>
        </w:rPr>
      </w:pPr>
    </w:p>
    <w:p>
      <w:pPr>
        <w:autoSpaceDE w:val="0"/>
        <w:autoSpaceDN w:val="0"/>
        <w:adjustRightInd w:val="0"/>
        <w:ind w:left="-320" w:leftChars="-100" w:right="-320" w:rightChars="-100" w:firstLine="630" w:firstLineChars="196"/>
        <w:outlineLvl w:val="0"/>
        <w:rPr>
          <w:rFonts w:hint="eastAsia" w:ascii="仿宋" w:hAnsi="仿宋" w:eastAsia="仿宋"/>
          <w:b/>
          <w:szCs w:val="32"/>
          <w:lang w:val="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ind w:right="-320" w:rightChars="-100"/>
        <w:textAlignment w:val="auto"/>
        <w:outlineLvl w:val="0"/>
        <w:rPr>
          <w:rFonts w:hint="eastAsia" w:ascii="仿宋" w:hAnsi="仿宋" w:eastAsia="仿宋"/>
          <w:b/>
          <w:szCs w:val="32"/>
          <w:lang w:val="zh-CN"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ind w:right="-320" w:rightChars="-100" w:firstLine="643" w:firstLineChars="200"/>
        <w:textAlignment w:val="auto"/>
        <w:outlineLvl w:val="0"/>
        <w:rPr>
          <w:rFonts w:hint="eastAsia" w:ascii="仿宋" w:hAnsi="仿宋" w:eastAsia="仿宋"/>
          <w:b/>
          <w:szCs w:val="32"/>
          <w:lang w:val="zh-CN"/>
        </w:rPr>
      </w:pPr>
      <w:r>
        <w:rPr>
          <w:rFonts w:hint="eastAsia" w:ascii="仿宋" w:hAnsi="仿宋" w:eastAsia="仿宋"/>
          <w:b/>
          <w:szCs w:val="32"/>
          <w:lang w:val="zh-CN" w:eastAsia="zh-CN"/>
        </w:rPr>
        <w:t>一、</w:t>
      </w:r>
      <w:r>
        <w:rPr>
          <w:rFonts w:hint="eastAsia" w:ascii="仿宋" w:hAnsi="仿宋" w:eastAsia="仿宋"/>
          <w:b/>
          <w:szCs w:val="32"/>
          <w:lang w:val="zh-CN"/>
        </w:rPr>
        <w:t>主要职责和机构设置</w:t>
      </w:r>
      <w:bookmarkEnd w:id="0"/>
      <w:bookmarkEnd w:id="1"/>
      <w:bookmarkStart w:id="2" w:name="_Toc11842"/>
      <w:bookmarkStart w:id="3" w:name="_Toc23200"/>
    </w:p>
    <w:p>
      <w:pPr>
        <w:keepNext w:val="0"/>
        <w:keepLines w:val="0"/>
        <w:pageBreakBefore w:val="0"/>
        <w:widowControl w:val="0"/>
        <w:numPr>
          <w:ilvl w:val="0"/>
          <w:numId w:val="0"/>
        </w:numPr>
        <w:kinsoku/>
        <w:wordWrap/>
        <w:overflowPunct/>
        <w:topLinePunct w:val="0"/>
        <w:autoSpaceDE w:val="0"/>
        <w:autoSpaceDN w:val="0"/>
        <w:bidi w:val="0"/>
        <w:adjustRightInd w:val="0"/>
        <w:snapToGrid/>
        <w:ind w:right="-320" w:rightChars="-100" w:firstLine="643" w:firstLineChars="200"/>
        <w:textAlignment w:val="auto"/>
        <w:outlineLvl w:val="0"/>
        <w:rPr>
          <w:rFonts w:hint="eastAsia" w:ascii="仿宋" w:hAnsi="仿宋" w:eastAsia="仿宋"/>
          <w:b/>
          <w:szCs w:val="32"/>
          <w:lang w:val="zh-CN"/>
        </w:rPr>
      </w:pPr>
      <w:r>
        <w:rPr>
          <w:rFonts w:hint="eastAsia" w:ascii="仿宋" w:hAnsi="仿宋" w:eastAsia="仿宋"/>
          <w:b/>
          <w:szCs w:val="32"/>
          <w:lang w:val="zh-CN"/>
        </w:rPr>
        <w:t>（一）主要职责</w:t>
      </w:r>
      <w:bookmarkEnd w:id="2"/>
      <w:bookmarkEnd w:id="3"/>
    </w:p>
    <w:p>
      <w:pPr>
        <w:keepNext w:val="0"/>
        <w:keepLines w:val="0"/>
        <w:pageBreakBefore w:val="0"/>
        <w:widowControl w:val="0"/>
        <w:kinsoku/>
        <w:wordWrap/>
        <w:overflowPunct/>
        <w:topLinePunct w:val="0"/>
        <w:bidi w:val="0"/>
        <w:snapToGrid/>
        <w:spacing w:line="160" w:lineRule="atLeast"/>
        <w:ind w:left="-320" w:leftChars="-100" w:right="-320" w:rightChars="-100" w:firstLine="640" w:firstLineChars="200"/>
        <w:textAlignment w:val="auto"/>
        <w:rPr>
          <w:rFonts w:hint="eastAsia" w:ascii="仿宋_GB2312"/>
          <w:szCs w:val="32"/>
        </w:rPr>
      </w:pPr>
      <w:r>
        <w:rPr>
          <w:rFonts w:hint="eastAsia" w:ascii="仿宋_GB2312"/>
          <w:szCs w:val="32"/>
        </w:rPr>
        <w:t>审理法律规定由基层法院管辖的刑事、民事、行政案件；依照审判监督程序，审理告诉申诉的刑事、民事、行政案件；依法行使司法执行权和司法决定权，执行本</w:t>
      </w:r>
      <w:r>
        <w:rPr>
          <w:rFonts w:hint="eastAsia" w:ascii="仿宋_GB2312"/>
          <w:szCs w:val="32"/>
          <w:lang w:eastAsia="zh-CN"/>
        </w:rPr>
        <w:t>单位</w:t>
      </w:r>
      <w:r>
        <w:rPr>
          <w:rFonts w:hint="eastAsia" w:ascii="仿宋_GB2312"/>
          <w:szCs w:val="32"/>
        </w:rPr>
        <w:t>已经发生法律效力的判决、裁定以及国家行政机关申请执行的案件和外地法院委托执行的案件；调查研究审判工作中的法律、法规、规章、政策及疑难问题，针对案件审理中发现的问题提出司法建议；对</w:t>
      </w:r>
      <w:r>
        <w:rPr>
          <w:rFonts w:hint="eastAsia" w:ascii="仿宋_GB2312"/>
          <w:szCs w:val="32"/>
          <w:lang w:eastAsia="zh-CN"/>
        </w:rPr>
        <w:t>本单位</w:t>
      </w:r>
      <w:r>
        <w:rPr>
          <w:rFonts w:hint="eastAsia" w:ascii="仿宋_GB2312"/>
          <w:szCs w:val="32"/>
        </w:rPr>
        <w:t>的法官和其他工作人员进行思想政治教育、组织专业培训，按照权限管理法官和其他工作人员，协助市机构编制主管部门管理人民法院的机构编制工作；管理市人民法院的有关经费和物资装备；参与社会管理综合治理工作，在审判工作中宣传法制，教育公民自觉遵守宪法、法律、法规和社会公德；承办其他应由</w:t>
      </w:r>
      <w:r>
        <w:rPr>
          <w:rFonts w:hint="eastAsia" w:ascii="仿宋_GB2312"/>
          <w:szCs w:val="32"/>
          <w:lang w:eastAsia="zh-CN"/>
        </w:rPr>
        <w:t>本单位</w:t>
      </w:r>
      <w:r>
        <w:rPr>
          <w:rFonts w:hint="eastAsia" w:ascii="仿宋_GB2312"/>
          <w:szCs w:val="32"/>
        </w:rPr>
        <w:t>负责的工作。</w:t>
      </w:r>
    </w:p>
    <w:p>
      <w:pPr>
        <w:keepNext w:val="0"/>
        <w:keepLines w:val="0"/>
        <w:pageBreakBefore w:val="0"/>
        <w:widowControl w:val="0"/>
        <w:kinsoku/>
        <w:wordWrap/>
        <w:overflowPunct/>
        <w:topLinePunct w:val="0"/>
        <w:autoSpaceDE/>
        <w:autoSpaceDN/>
        <w:bidi w:val="0"/>
        <w:adjustRightInd/>
        <w:snapToGrid/>
        <w:spacing w:line="160" w:lineRule="atLeast"/>
        <w:ind w:left="-320" w:leftChars="-100" w:right="-320" w:rightChars="-100" w:firstLine="643" w:firstLineChars="200"/>
        <w:textAlignment w:val="auto"/>
        <w:outlineLvl w:val="1"/>
        <w:rPr>
          <w:rFonts w:hint="eastAsia" w:ascii="仿宋" w:hAnsi="仿宋" w:eastAsia="仿宋"/>
          <w:b/>
          <w:bCs/>
          <w:szCs w:val="32"/>
        </w:rPr>
      </w:pPr>
      <w:bookmarkStart w:id="4" w:name="_Toc3933"/>
      <w:bookmarkStart w:id="5" w:name="_Toc5845"/>
      <w:r>
        <w:rPr>
          <w:rFonts w:hint="eastAsia" w:ascii="仿宋" w:hAnsi="仿宋" w:eastAsia="仿宋"/>
          <w:b/>
          <w:bCs/>
          <w:szCs w:val="32"/>
        </w:rPr>
        <w:t>（二）内部机构设置情况</w:t>
      </w:r>
      <w:bookmarkEnd w:id="4"/>
      <w:bookmarkEnd w:id="5"/>
    </w:p>
    <w:p>
      <w:pPr>
        <w:keepNext w:val="0"/>
        <w:keepLines w:val="0"/>
        <w:pageBreakBefore w:val="0"/>
        <w:widowControl w:val="0"/>
        <w:kinsoku/>
        <w:wordWrap/>
        <w:overflowPunct/>
        <w:topLinePunct w:val="0"/>
        <w:autoSpaceDE/>
        <w:autoSpaceDN/>
        <w:bidi w:val="0"/>
        <w:adjustRightInd/>
        <w:snapToGrid/>
        <w:spacing w:line="160" w:lineRule="atLeast"/>
        <w:ind w:left="-320" w:leftChars="-100" w:right="-320" w:rightChars="-100" w:firstLine="640" w:firstLineChars="200"/>
        <w:textAlignment w:val="auto"/>
        <w:rPr>
          <w:rFonts w:hint="eastAsia" w:ascii="仿宋" w:hAnsi="仿宋" w:eastAsia="仿宋"/>
          <w:szCs w:val="32"/>
        </w:rPr>
      </w:pPr>
      <w:r>
        <w:rPr>
          <w:rFonts w:hint="eastAsia" w:ascii="仿宋_GB2312"/>
          <w:szCs w:val="32"/>
          <w:lang w:eastAsia="zh-CN"/>
        </w:rPr>
        <w:t>本单位</w:t>
      </w:r>
      <w:r>
        <w:rPr>
          <w:rFonts w:hint="eastAsia" w:ascii="仿宋_GB2312"/>
          <w:szCs w:val="32"/>
        </w:rPr>
        <w:t>机构设有:立案庭、刑事审判庭、民事审判第一庭、民事审判第二庭、行政审判庭、执行局、政治部、综合办公室、审判管理办公室、司法警察大队、广华寺人民法庭、张金人民法庭、泽口人民法庭、浩口人民法庭、总口人民法庭、熊口人民法庭。</w:t>
      </w:r>
    </w:p>
    <w:p>
      <w:pPr>
        <w:keepNext w:val="0"/>
        <w:keepLines w:val="0"/>
        <w:pageBreakBefore w:val="0"/>
        <w:widowControl w:val="0"/>
        <w:kinsoku/>
        <w:wordWrap/>
        <w:overflowPunct/>
        <w:topLinePunct w:val="0"/>
        <w:autoSpaceDE w:val="0"/>
        <w:autoSpaceDN w:val="0"/>
        <w:bidi w:val="0"/>
        <w:adjustRightInd w:val="0"/>
        <w:snapToGrid/>
        <w:spacing w:line="160" w:lineRule="atLeast"/>
        <w:ind w:left="-320" w:leftChars="-100" w:right="-320" w:rightChars="-100" w:firstLine="643" w:firstLineChars="200"/>
        <w:textAlignment w:val="auto"/>
        <w:outlineLvl w:val="0"/>
        <w:rPr>
          <w:rFonts w:hint="eastAsia" w:ascii="仿宋" w:hAnsi="仿宋" w:eastAsia="仿宋"/>
          <w:b/>
          <w:szCs w:val="32"/>
          <w:lang w:val="zh-CN"/>
        </w:rPr>
      </w:pPr>
      <w:bookmarkStart w:id="6" w:name="_Toc18166"/>
      <w:bookmarkStart w:id="7" w:name="_Toc16509"/>
      <w:r>
        <w:rPr>
          <w:rFonts w:hint="eastAsia" w:ascii="仿宋" w:hAnsi="仿宋" w:eastAsia="仿宋"/>
          <w:b/>
          <w:szCs w:val="32"/>
          <w:lang w:val="zh-CN"/>
        </w:rPr>
        <w:t>二、2021年度部门决算收支情况</w:t>
      </w:r>
      <w:bookmarkEnd w:id="6"/>
      <w:bookmarkEnd w:id="7"/>
    </w:p>
    <w:p>
      <w:pPr>
        <w:keepNext w:val="0"/>
        <w:keepLines w:val="0"/>
        <w:pageBreakBefore w:val="0"/>
        <w:widowControl w:val="0"/>
        <w:kinsoku/>
        <w:wordWrap/>
        <w:overflowPunct/>
        <w:topLinePunct w:val="0"/>
        <w:autoSpaceDE w:val="0"/>
        <w:autoSpaceDN w:val="0"/>
        <w:bidi w:val="0"/>
        <w:adjustRightInd w:val="0"/>
        <w:snapToGrid/>
        <w:spacing w:line="160" w:lineRule="atLeast"/>
        <w:ind w:left="-320" w:leftChars="-100" w:right="-320" w:rightChars="-100" w:firstLine="643" w:firstLineChars="200"/>
        <w:textAlignment w:val="auto"/>
        <w:outlineLvl w:val="1"/>
        <w:rPr>
          <w:rFonts w:hint="eastAsia" w:ascii="仿宋" w:hAnsi="仿宋" w:eastAsia="仿宋"/>
          <w:b/>
          <w:szCs w:val="32"/>
          <w:lang w:val="zh-CN"/>
        </w:rPr>
      </w:pPr>
      <w:bookmarkStart w:id="8" w:name="_Toc10203"/>
      <w:bookmarkStart w:id="9" w:name="_Toc27293"/>
      <w:r>
        <w:rPr>
          <w:rFonts w:hint="eastAsia" w:ascii="仿宋" w:hAnsi="仿宋" w:eastAsia="仿宋"/>
          <w:b/>
          <w:szCs w:val="32"/>
          <w:lang w:val="zh-CN"/>
        </w:rPr>
        <w:t>（一）收入支出决算总体情况</w:t>
      </w:r>
      <w:bookmarkEnd w:id="8"/>
      <w:bookmarkEnd w:id="9"/>
    </w:p>
    <w:p>
      <w:pPr>
        <w:keepNext w:val="0"/>
        <w:keepLines w:val="0"/>
        <w:pageBreakBefore w:val="0"/>
        <w:widowControl w:val="0"/>
        <w:kinsoku/>
        <w:wordWrap/>
        <w:overflowPunct/>
        <w:topLinePunct w:val="0"/>
        <w:autoSpaceDE w:val="0"/>
        <w:autoSpaceDN w:val="0"/>
        <w:bidi w:val="0"/>
        <w:adjustRightInd w:val="0"/>
        <w:snapToGrid/>
        <w:spacing w:line="160" w:lineRule="atLeast"/>
        <w:ind w:left="-320" w:leftChars="-100" w:right="-320" w:rightChars="-100" w:firstLine="640" w:firstLineChars="200"/>
        <w:textAlignment w:val="auto"/>
        <w:rPr>
          <w:rFonts w:hint="eastAsia" w:ascii="仿宋" w:hAnsi="仿宋" w:eastAsia="仿宋"/>
          <w:szCs w:val="32"/>
          <w:lang w:val="zh-CN"/>
        </w:rPr>
      </w:pPr>
      <w:r>
        <w:rPr>
          <w:rFonts w:hint="eastAsia" w:ascii="仿宋" w:hAnsi="仿宋" w:eastAsia="仿宋"/>
          <w:szCs w:val="32"/>
          <w:lang w:val="zh-CN"/>
        </w:rPr>
        <w:t>2021年度本单位收入决算</w:t>
      </w:r>
      <w:r>
        <w:rPr>
          <w:rFonts w:hint="eastAsia" w:ascii="仿宋" w:hAnsi="仿宋" w:eastAsia="仿宋"/>
          <w:szCs w:val="32"/>
          <w:lang w:val="en-US" w:eastAsia="zh-CN"/>
        </w:rPr>
        <w:t>4,666.46</w:t>
      </w:r>
      <w:r>
        <w:rPr>
          <w:rFonts w:hint="eastAsia" w:ascii="仿宋" w:hAnsi="仿宋" w:eastAsia="仿宋"/>
          <w:szCs w:val="32"/>
          <w:lang w:val="zh-CN"/>
        </w:rPr>
        <w:t>万元，比2020年度减少</w:t>
      </w:r>
      <w:r>
        <w:rPr>
          <w:rFonts w:hint="eastAsia" w:ascii="仿宋" w:hAnsi="仿宋" w:eastAsia="仿宋"/>
          <w:szCs w:val="32"/>
          <w:lang w:val="en-US" w:eastAsia="zh-CN"/>
        </w:rPr>
        <w:t>291.32</w:t>
      </w:r>
      <w:r>
        <w:rPr>
          <w:rFonts w:hint="eastAsia" w:ascii="仿宋" w:hAnsi="仿宋" w:eastAsia="仿宋"/>
          <w:szCs w:val="32"/>
          <w:lang w:val="zh-CN"/>
        </w:rPr>
        <w:t>万元，减少</w:t>
      </w:r>
      <w:r>
        <w:rPr>
          <w:rFonts w:hint="eastAsia" w:ascii="仿宋" w:hAnsi="仿宋" w:eastAsia="仿宋"/>
          <w:szCs w:val="32"/>
          <w:lang w:val="en-US" w:eastAsia="zh-CN"/>
        </w:rPr>
        <w:t>5.9</w:t>
      </w:r>
      <w:r>
        <w:rPr>
          <w:rFonts w:hint="eastAsia" w:ascii="仿宋" w:hAnsi="仿宋" w:eastAsia="仿宋"/>
          <w:szCs w:val="32"/>
          <w:lang w:val="zh-CN"/>
        </w:rPr>
        <w:t>%。2021年度本单位支出决算</w:t>
      </w:r>
      <w:r>
        <w:rPr>
          <w:rFonts w:hint="eastAsia" w:ascii="仿宋" w:hAnsi="仿宋" w:eastAsia="仿宋"/>
          <w:szCs w:val="32"/>
          <w:lang w:val="en-US" w:eastAsia="zh-CN"/>
        </w:rPr>
        <w:t>4,666.46</w:t>
      </w:r>
      <w:r>
        <w:rPr>
          <w:rFonts w:hint="eastAsia" w:ascii="仿宋" w:hAnsi="仿宋" w:eastAsia="仿宋"/>
          <w:szCs w:val="32"/>
          <w:lang w:val="zh-CN"/>
        </w:rPr>
        <w:t>万元，比2020年度减少</w:t>
      </w:r>
      <w:r>
        <w:rPr>
          <w:rFonts w:hint="eastAsia" w:ascii="仿宋" w:hAnsi="仿宋" w:eastAsia="仿宋"/>
          <w:szCs w:val="32"/>
          <w:lang w:val="en-US" w:eastAsia="zh-CN"/>
        </w:rPr>
        <w:t>291.32</w:t>
      </w:r>
      <w:r>
        <w:rPr>
          <w:rFonts w:hint="eastAsia" w:ascii="仿宋" w:hAnsi="仿宋" w:eastAsia="仿宋"/>
          <w:szCs w:val="32"/>
          <w:lang w:val="zh-CN"/>
        </w:rPr>
        <w:t>万元，减少</w:t>
      </w:r>
      <w:r>
        <w:rPr>
          <w:rFonts w:hint="eastAsia" w:ascii="仿宋" w:hAnsi="仿宋" w:eastAsia="仿宋"/>
          <w:szCs w:val="32"/>
          <w:lang w:val="en-US" w:eastAsia="zh-CN"/>
        </w:rPr>
        <w:t>5.9</w:t>
      </w:r>
      <w:r>
        <w:rPr>
          <w:rFonts w:hint="eastAsia" w:ascii="仿宋" w:hAnsi="仿宋" w:eastAsia="仿宋"/>
          <w:szCs w:val="32"/>
          <w:lang w:val="zh-CN"/>
        </w:rPr>
        <w:t>%。其中：</w:t>
      </w:r>
    </w:p>
    <w:p>
      <w:pPr>
        <w:keepNext w:val="0"/>
        <w:keepLines w:val="0"/>
        <w:pageBreakBefore w:val="0"/>
        <w:widowControl w:val="0"/>
        <w:kinsoku/>
        <w:wordWrap/>
        <w:overflowPunct/>
        <w:topLinePunct w:val="0"/>
        <w:autoSpaceDE w:val="0"/>
        <w:autoSpaceDN w:val="0"/>
        <w:bidi w:val="0"/>
        <w:adjustRightInd w:val="0"/>
        <w:snapToGrid/>
        <w:ind w:left="-320" w:leftChars="-100" w:right="-320" w:rightChars="-100" w:firstLine="640" w:firstLineChars="200"/>
        <w:textAlignment w:val="auto"/>
        <w:rPr>
          <w:rFonts w:hint="eastAsia" w:ascii="仿宋" w:hAnsi="仿宋" w:eastAsia="仿宋"/>
          <w:szCs w:val="32"/>
          <w:lang w:val="zh-CN"/>
        </w:rPr>
      </w:pPr>
      <w:r>
        <w:rPr>
          <w:rFonts w:hint="eastAsia" w:ascii="仿宋" w:hAnsi="仿宋" w:eastAsia="仿宋"/>
          <w:szCs w:val="32"/>
          <w:lang w:val="zh-CN"/>
        </w:rPr>
        <w:t>1.收入总计</w:t>
      </w:r>
      <w:r>
        <w:rPr>
          <w:rFonts w:hint="eastAsia" w:ascii="仿宋" w:hAnsi="仿宋" w:eastAsia="仿宋"/>
          <w:szCs w:val="32"/>
          <w:lang w:val="en-US" w:eastAsia="zh-CN"/>
        </w:rPr>
        <w:t>4,666.46</w:t>
      </w:r>
      <w:r>
        <w:rPr>
          <w:rFonts w:hint="eastAsia" w:ascii="仿宋" w:hAnsi="仿宋" w:eastAsia="仿宋"/>
          <w:szCs w:val="32"/>
          <w:lang w:val="zh-CN"/>
        </w:rPr>
        <w:t>万元，具体包括：</w:t>
      </w:r>
    </w:p>
    <w:p>
      <w:pPr>
        <w:keepNext w:val="0"/>
        <w:keepLines w:val="0"/>
        <w:pageBreakBefore w:val="0"/>
        <w:widowControl w:val="0"/>
        <w:kinsoku/>
        <w:wordWrap/>
        <w:overflowPunct/>
        <w:topLinePunct w:val="0"/>
        <w:bidi w:val="0"/>
        <w:snapToGrid/>
        <w:spacing w:line="360" w:lineRule="auto"/>
        <w:ind w:left="-320" w:leftChars="-100" w:right="-320" w:rightChars="-100" w:firstLine="640" w:firstLineChars="200"/>
        <w:textAlignment w:val="auto"/>
        <w:rPr>
          <w:rFonts w:hint="eastAsia" w:ascii="仿宋" w:hAnsi="仿宋" w:eastAsia="仿宋" w:cs="仿宋"/>
          <w:szCs w:val="32"/>
        </w:rPr>
      </w:pPr>
      <w:r>
        <w:rPr>
          <w:rFonts w:hint="eastAsia" w:ascii="仿宋" w:hAnsi="仿宋" w:eastAsia="仿宋"/>
          <w:szCs w:val="32"/>
          <w:lang w:val="zh-CN"/>
        </w:rPr>
        <w:t>（1）财政拨款收入</w:t>
      </w:r>
      <w:r>
        <w:rPr>
          <w:rFonts w:hint="eastAsia" w:ascii="仿宋" w:hAnsi="仿宋" w:eastAsia="仿宋"/>
          <w:szCs w:val="32"/>
        </w:rPr>
        <w:t>3</w:t>
      </w:r>
      <w:r>
        <w:rPr>
          <w:rFonts w:hint="eastAsia" w:ascii="仿宋" w:hAnsi="仿宋" w:eastAsia="仿宋"/>
          <w:szCs w:val="32"/>
          <w:lang w:val="en-US" w:eastAsia="zh-CN"/>
        </w:rPr>
        <w:t>,</w:t>
      </w:r>
      <w:r>
        <w:rPr>
          <w:rFonts w:hint="eastAsia" w:ascii="仿宋" w:hAnsi="仿宋" w:eastAsia="仿宋"/>
          <w:szCs w:val="32"/>
        </w:rPr>
        <w:t>979.43</w:t>
      </w:r>
      <w:r>
        <w:rPr>
          <w:rFonts w:hint="eastAsia" w:ascii="仿宋" w:hAnsi="仿宋" w:eastAsia="仿宋"/>
          <w:szCs w:val="32"/>
          <w:lang w:val="zh-CN"/>
        </w:rPr>
        <w:t>万元，比2020年度减少</w:t>
      </w:r>
      <w:r>
        <w:rPr>
          <w:rFonts w:hint="eastAsia" w:ascii="仿宋" w:hAnsi="仿宋" w:eastAsia="仿宋"/>
          <w:szCs w:val="32"/>
        </w:rPr>
        <w:t>369.6</w:t>
      </w:r>
      <w:r>
        <w:rPr>
          <w:rFonts w:hint="eastAsia" w:ascii="仿宋" w:hAnsi="仿宋" w:eastAsia="仿宋"/>
          <w:szCs w:val="32"/>
          <w:lang w:val="zh-CN"/>
        </w:rPr>
        <w:t>万元，减少</w:t>
      </w:r>
      <w:r>
        <w:rPr>
          <w:rFonts w:hint="eastAsia" w:ascii="仿宋" w:hAnsi="仿宋" w:eastAsia="仿宋"/>
          <w:szCs w:val="32"/>
        </w:rPr>
        <w:t>8.5</w:t>
      </w:r>
      <w:r>
        <w:rPr>
          <w:rFonts w:hint="eastAsia" w:ascii="仿宋" w:hAnsi="仿宋" w:eastAsia="仿宋"/>
          <w:szCs w:val="32"/>
          <w:lang w:val="zh-CN"/>
        </w:rPr>
        <w:t>%，减少的主要原因是</w:t>
      </w:r>
      <w:r>
        <w:rPr>
          <w:rFonts w:hint="eastAsia" w:ascii="仿宋" w:hAnsi="仿宋" w:eastAsia="仿宋"/>
          <w:kern w:val="0"/>
          <w:szCs w:val="32"/>
        </w:rPr>
        <w:t>本年度无基本建设类项目经费</w:t>
      </w:r>
      <w:r>
        <w:rPr>
          <w:rFonts w:hint="eastAsia" w:ascii="仿宋" w:hAnsi="仿宋" w:eastAsia="仿宋" w:cs="仿宋"/>
          <w:bCs/>
          <w:szCs w:val="32"/>
        </w:rPr>
        <w:t>。</w:t>
      </w:r>
    </w:p>
    <w:p>
      <w:pPr>
        <w:keepNext w:val="0"/>
        <w:keepLines w:val="0"/>
        <w:pageBreakBefore w:val="0"/>
        <w:widowControl w:val="0"/>
        <w:kinsoku/>
        <w:wordWrap/>
        <w:overflowPunct/>
        <w:topLinePunct w:val="0"/>
        <w:bidi w:val="0"/>
        <w:snapToGrid/>
        <w:spacing w:line="360" w:lineRule="auto"/>
        <w:ind w:left="-320" w:leftChars="-100" w:right="-320" w:rightChars="-100" w:firstLine="640" w:firstLineChars="200"/>
        <w:textAlignment w:val="auto"/>
        <w:rPr>
          <w:rFonts w:ascii="仿宋" w:hAnsi="仿宋" w:eastAsia="仿宋"/>
          <w:szCs w:val="32"/>
        </w:rPr>
      </w:pPr>
      <w:r>
        <w:rPr>
          <w:rFonts w:hint="eastAsia" w:ascii="仿宋" w:hAnsi="仿宋" w:eastAsia="仿宋"/>
          <w:szCs w:val="32"/>
          <w:lang w:val="zh-CN"/>
        </w:rPr>
        <w:t>（2）其他收入</w:t>
      </w:r>
      <w:r>
        <w:rPr>
          <w:rFonts w:hint="eastAsia" w:ascii="仿宋" w:hAnsi="仿宋" w:eastAsia="仿宋"/>
          <w:szCs w:val="32"/>
        </w:rPr>
        <w:t>127.44</w:t>
      </w:r>
      <w:r>
        <w:rPr>
          <w:rFonts w:hint="eastAsia" w:ascii="仿宋" w:hAnsi="仿宋" w:eastAsia="仿宋"/>
          <w:szCs w:val="32"/>
          <w:lang w:val="zh-CN"/>
        </w:rPr>
        <w:t>万元，比2020年度减少</w:t>
      </w:r>
      <w:r>
        <w:rPr>
          <w:rFonts w:hint="eastAsia" w:ascii="仿宋" w:hAnsi="仿宋" w:eastAsia="仿宋"/>
          <w:szCs w:val="32"/>
        </w:rPr>
        <w:t>432.84</w:t>
      </w:r>
      <w:r>
        <w:rPr>
          <w:rFonts w:hint="eastAsia" w:ascii="仿宋" w:hAnsi="仿宋" w:eastAsia="仿宋"/>
          <w:szCs w:val="32"/>
          <w:lang w:val="zh-CN"/>
        </w:rPr>
        <w:t>万元，减少</w:t>
      </w:r>
      <w:r>
        <w:rPr>
          <w:rFonts w:hint="eastAsia" w:ascii="仿宋" w:hAnsi="仿宋" w:eastAsia="仿宋"/>
          <w:szCs w:val="32"/>
        </w:rPr>
        <w:t>77.</w:t>
      </w:r>
      <w:r>
        <w:rPr>
          <w:rFonts w:hint="eastAsia" w:ascii="仿宋" w:hAnsi="仿宋" w:eastAsia="仿宋"/>
          <w:szCs w:val="32"/>
          <w:lang w:val="en-US" w:eastAsia="zh-CN"/>
        </w:rPr>
        <w:t>3</w:t>
      </w:r>
      <w:r>
        <w:rPr>
          <w:rFonts w:hint="eastAsia" w:ascii="仿宋" w:hAnsi="仿宋" w:eastAsia="仿宋"/>
          <w:szCs w:val="32"/>
          <w:lang w:val="zh-CN"/>
        </w:rPr>
        <w:t>%，减少的主要原因是</w:t>
      </w:r>
      <w:r>
        <w:rPr>
          <w:rFonts w:hint="eastAsia" w:ascii="仿宋" w:hAnsi="仿宋" w:eastAsia="仿宋"/>
          <w:szCs w:val="32"/>
        </w:rPr>
        <w:t>本年度地方财政给予资金支持较上年度减少。</w:t>
      </w:r>
    </w:p>
    <w:p>
      <w:pPr>
        <w:keepNext w:val="0"/>
        <w:keepLines w:val="0"/>
        <w:pageBreakBefore w:val="0"/>
        <w:widowControl w:val="0"/>
        <w:kinsoku/>
        <w:wordWrap/>
        <w:overflowPunct/>
        <w:topLinePunct w:val="0"/>
        <w:autoSpaceDE w:val="0"/>
        <w:autoSpaceDN w:val="0"/>
        <w:bidi w:val="0"/>
        <w:adjustRightInd w:val="0"/>
        <w:snapToGrid/>
        <w:ind w:left="-320" w:leftChars="-100" w:right="-320" w:rightChars="-100" w:firstLine="640" w:firstLineChars="200"/>
        <w:textAlignment w:val="auto"/>
        <w:rPr>
          <w:rFonts w:hint="eastAsia" w:ascii="仿宋" w:hAnsi="仿宋" w:eastAsia="仿宋"/>
          <w:szCs w:val="32"/>
          <w:lang w:val="zh-CN"/>
        </w:rPr>
      </w:pPr>
      <w:r>
        <w:rPr>
          <w:rFonts w:hint="eastAsia" w:ascii="仿宋" w:hAnsi="仿宋" w:eastAsia="仿宋"/>
          <w:szCs w:val="32"/>
          <w:lang w:val="zh-CN"/>
        </w:rPr>
        <w:t>（3）年初结转和结余</w:t>
      </w:r>
      <w:r>
        <w:rPr>
          <w:rFonts w:hint="eastAsia" w:ascii="仿宋" w:hAnsi="仿宋" w:eastAsia="仿宋"/>
          <w:szCs w:val="32"/>
        </w:rPr>
        <w:t>559.59</w:t>
      </w:r>
      <w:r>
        <w:rPr>
          <w:rFonts w:hint="eastAsia" w:ascii="仿宋" w:hAnsi="仿宋" w:eastAsia="仿宋"/>
          <w:szCs w:val="32"/>
          <w:lang w:val="zh-CN"/>
        </w:rPr>
        <w:t>万元。为以前年度支出预算按有关规定继续结转使用的资金，为其他收入结转和结余。</w:t>
      </w:r>
    </w:p>
    <w:p>
      <w:pPr>
        <w:keepNext w:val="0"/>
        <w:keepLines w:val="0"/>
        <w:pageBreakBefore w:val="0"/>
        <w:widowControl w:val="0"/>
        <w:kinsoku/>
        <w:wordWrap/>
        <w:overflowPunct/>
        <w:topLinePunct w:val="0"/>
        <w:autoSpaceDE w:val="0"/>
        <w:autoSpaceDN w:val="0"/>
        <w:bidi w:val="0"/>
        <w:adjustRightInd w:val="0"/>
        <w:snapToGrid/>
        <w:ind w:left="-320" w:leftChars="-100" w:right="-320" w:rightChars="-100" w:firstLine="640" w:firstLineChars="200"/>
        <w:textAlignment w:val="auto"/>
        <w:rPr>
          <w:rFonts w:hint="eastAsia" w:ascii="仿宋" w:hAnsi="仿宋" w:eastAsia="仿宋"/>
          <w:szCs w:val="32"/>
          <w:lang w:val="zh-CN"/>
        </w:rPr>
      </w:pPr>
      <w:r>
        <w:rPr>
          <w:rFonts w:hint="eastAsia" w:ascii="仿宋" w:hAnsi="仿宋" w:eastAsia="仿宋"/>
          <w:szCs w:val="32"/>
          <w:lang w:val="zh-CN"/>
        </w:rPr>
        <w:t>2.支出总计</w:t>
      </w:r>
      <w:r>
        <w:rPr>
          <w:rFonts w:hint="eastAsia" w:ascii="仿宋" w:hAnsi="仿宋" w:eastAsia="仿宋"/>
          <w:szCs w:val="32"/>
          <w:lang w:val="en-US" w:eastAsia="zh-CN"/>
        </w:rPr>
        <w:t>4,666.46</w:t>
      </w:r>
      <w:r>
        <w:rPr>
          <w:rFonts w:hint="eastAsia" w:ascii="仿宋" w:hAnsi="仿宋" w:eastAsia="仿宋"/>
          <w:szCs w:val="32"/>
          <w:lang w:val="zh-CN"/>
        </w:rPr>
        <w:t>万元，具体包括：</w:t>
      </w:r>
    </w:p>
    <w:p>
      <w:pPr>
        <w:keepNext w:val="0"/>
        <w:keepLines w:val="0"/>
        <w:pageBreakBefore w:val="0"/>
        <w:widowControl w:val="0"/>
        <w:kinsoku/>
        <w:wordWrap/>
        <w:overflowPunct/>
        <w:topLinePunct w:val="0"/>
        <w:autoSpaceDE w:val="0"/>
        <w:autoSpaceDN w:val="0"/>
        <w:bidi w:val="0"/>
        <w:adjustRightInd w:val="0"/>
        <w:snapToGrid/>
        <w:ind w:left="-320" w:leftChars="-100" w:right="-320" w:rightChars="-100" w:firstLine="640" w:firstLineChars="200"/>
        <w:textAlignment w:val="auto"/>
        <w:rPr>
          <w:rFonts w:hint="eastAsia" w:ascii="仿宋" w:hAnsi="仿宋" w:eastAsia="仿宋"/>
          <w:szCs w:val="32"/>
          <w:lang w:val="zh-CN"/>
        </w:rPr>
      </w:pPr>
      <w:r>
        <w:rPr>
          <w:rFonts w:hint="eastAsia" w:ascii="仿宋" w:hAnsi="仿宋" w:eastAsia="仿宋"/>
          <w:szCs w:val="32"/>
          <w:lang w:val="zh-CN"/>
        </w:rPr>
        <w:t>（1）本年支出合计</w:t>
      </w:r>
      <w:r>
        <w:rPr>
          <w:rFonts w:hint="eastAsia" w:ascii="仿宋" w:hAnsi="仿宋" w:eastAsia="仿宋"/>
          <w:szCs w:val="32"/>
        </w:rPr>
        <w:t>4</w:t>
      </w:r>
      <w:r>
        <w:rPr>
          <w:rFonts w:hint="eastAsia" w:ascii="仿宋" w:hAnsi="仿宋" w:eastAsia="仿宋"/>
          <w:szCs w:val="32"/>
          <w:lang w:val="en-US" w:eastAsia="zh-CN"/>
        </w:rPr>
        <w:t>,</w:t>
      </w:r>
      <w:r>
        <w:rPr>
          <w:rFonts w:hint="eastAsia" w:ascii="仿宋" w:hAnsi="仿宋" w:eastAsia="仿宋"/>
          <w:szCs w:val="32"/>
        </w:rPr>
        <w:t>247.02</w:t>
      </w:r>
      <w:r>
        <w:rPr>
          <w:rFonts w:hint="eastAsia" w:ascii="仿宋" w:hAnsi="仿宋" w:eastAsia="仿宋"/>
          <w:szCs w:val="32"/>
          <w:lang w:val="zh-CN"/>
        </w:rPr>
        <w:t>万元，比2020年度减少</w:t>
      </w:r>
      <w:r>
        <w:rPr>
          <w:rFonts w:hint="eastAsia" w:ascii="仿宋" w:hAnsi="仿宋" w:eastAsia="仿宋"/>
          <w:szCs w:val="32"/>
        </w:rPr>
        <w:t>151.17</w:t>
      </w:r>
      <w:r>
        <w:rPr>
          <w:rFonts w:hint="eastAsia" w:ascii="仿宋" w:hAnsi="仿宋" w:eastAsia="仿宋"/>
          <w:szCs w:val="32"/>
          <w:lang w:val="zh-CN"/>
        </w:rPr>
        <w:t>万元，减少</w:t>
      </w:r>
      <w:r>
        <w:rPr>
          <w:rFonts w:hint="eastAsia" w:ascii="仿宋" w:hAnsi="仿宋" w:eastAsia="仿宋"/>
          <w:szCs w:val="32"/>
        </w:rPr>
        <w:t>3.4</w:t>
      </w:r>
      <w:r>
        <w:rPr>
          <w:rFonts w:hint="eastAsia" w:ascii="仿宋" w:hAnsi="仿宋" w:eastAsia="仿宋"/>
          <w:szCs w:val="32"/>
          <w:lang w:val="zh-CN"/>
        </w:rPr>
        <w:t>%，减少的主要原因</w:t>
      </w:r>
      <w:r>
        <w:rPr>
          <w:rFonts w:hint="eastAsia" w:ascii="仿宋" w:hAnsi="仿宋" w:eastAsia="仿宋"/>
          <w:szCs w:val="32"/>
        </w:rPr>
        <w:t>是本年无基本建设类一次性项目。</w:t>
      </w:r>
      <w:r>
        <w:rPr>
          <w:rFonts w:hint="eastAsia" w:ascii="仿宋" w:hAnsi="仿宋" w:eastAsia="仿宋"/>
          <w:szCs w:val="32"/>
          <w:lang w:val="zh-CN"/>
        </w:rPr>
        <w:t>其中：</w:t>
      </w:r>
      <w:r>
        <w:rPr>
          <w:rFonts w:hint="eastAsia" w:ascii="仿宋" w:hAnsi="仿宋" w:eastAsia="仿宋"/>
          <w:szCs w:val="32"/>
        </w:rPr>
        <w:t>公共安全支出4</w:t>
      </w:r>
      <w:r>
        <w:rPr>
          <w:rFonts w:hint="eastAsia" w:ascii="仿宋" w:hAnsi="仿宋" w:eastAsia="仿宋"/>
          <w:szCs w:val="32"/>
          <w:lang w:val="en-US" w:eastAsia="zh-CN"/>
        </w:rPr>
        <w:t>,</w:t>
      </w:r>
      <w:r>
        <w:rPr>
          <w:rFonts w:hint="eastAsia" w:ascii="仿宋" w:hAnsi="仿宋" w:eastAsia="仿宋"/>
          <w:szCs w:val="32"/>
        </w:rPr>
        <w:t>036.02万元，占比95%；社会保障和就业支出211万元，占比</w:t>
      </w:r>
      <w:r>
        <w:rPr>
          <w:rFonts w:hint="eastAsia" w:ascii="仿宋" w:hAnsi="仿宋" w:eastAsia="仿宋"/>
          <w:szCs w:val="32"/>
          <w:lang w:val="en-US" w:eastAsia="zh-CN"/>
        </w:rPr>
        <w:t>5</w:t>
      </w:r>
      <w:r>
        <w:rPr>
          <w:rFonts w:hint="eastAsia" w:ascii="仿宋" w:hAnsi="仿宋" w:eastAsia="仿宋"/>
          <w:szCs w:val="32"/>
        </w:rPr>
        <w:t>%。</w:t>
      </w:r>
    </w:p>
    <w:p>
      <w:pPr>
        <w:keepNext w:val="0"/>
        <w:keepLines w:val="0"/>
        <w:pageBreakBefore w:val="0"/>
        <w:widowControl w:val="0"/>
        <w:kinsoku/>
        <w:wordWrap/>
        <w:overflowPunct/>
        <w:topLinePunct w:val="0"/>
        <w:autoSpaceDE w:val="0"/>
        <w:autoSpaceDN w:val="0"/>
        <w:bidi w:val="0"/>
        <w:adjustRightInd w:val="0"/>
        <w:snapToGrid/>
        <w:ind w:left="-320" w:leftChars="-100" w:right="-320" w:rightChars="-100" w:firstLine="640" w:firstLineChars="200"/>
        <w:textAlignment w:val="auto"/>
        <w:rPr>
          <w:rFonts w:hint="eastAsia" w:ascii="仿宋" w:hAnsi="仿宋" w:eastAsia="仿宋"/>
          <w:szCs w:val="32"/>
          <w:lang w:val="zh-CN"/>
        </w:rPr>
      </w:pPr>
      <w:r>
        <w:rPr>
          <w:rFonts w:hint="eastAsia" w:ascii="仿宋" w:hAnsi="仿宋" w:eastAsia="仿宋"/>
          <w:szCs w:val="32"/>
          <w:lang w:val="zh-CN"/>
        </w:rPr>
        <w:t>（2）年末结转和结余</w:t>
      </w:r>
      <w:r>
        <w:rPr>
          <w:rFonts w:hint="eastAsia" w:ascii="仿宋" w:hAnsi="仿宋" w:eastAsia="仿宋"/>
          <w:szCs w:val="32"/>
        </w:rPr>
        <w:t>419.44</w:t>
      </w:r>
      <w:r>
        <w:rPr>
          <w:rFonts w:hint="eastAsia" w:ascii="仿宋" w:hAnsi="仿宋" w:eastAsia="仿宋"/>
          <w:szCs w:val="32"/>
          <w:lang w:val="zh-CN"/>
        </w:rPr>
        <w:t>万元。为当年或以前年度支出预算按有关规定结转继续使用的资金，为其他收入结转和结余。</w:t>
      </w:r>
    </w:p>
    <w:p>
      <w:pPr>
        <w:keepNext w:val="0"/>
        <w:keepLines w:val="0"/>
        <w:pageBreakBefore w:val="0"/>
        <w:widowControl w:val="0"/>
        <w:kinsoku/>
        <w:wordWrap/>
        <w:overflowPunct/>
        <w:topLinePunct w:val="0"/>
        <w:autoSpaceDE w:val="0"/>
        <w:autoSpaceDN w:val="0"/>
        <w:bidi w:val="0"/>
        <w:adjustRightInd w:val="0"/>
        <w:snapToGrid/>
        <w:ind w:left="-320" w:leftChars="-100" w:right="-320" w:rightChars="-100" w:firstLine="643" w:firstLineChars="200"/>
        <w:textAlignment w:val="auto"/>
        <w:outlineLvl w:val="1"/>
        <w:rPr>
          <w:rFonts w:hint="eastAsia" w:ascii="仿宋" w:hAnsi="仿宋" w:eastAsia="仿宋"/>
          <w:b/>
          <w:szCs w:val="32"/>
          <w:lang w:val="zh-CN"/>
        </w:rPr>
      </w:pPr>
      <w:bookmarkStart w:id="10" w:name="_Toc28964"/>
      <w:bookmarkStart w:id="11" w:name="_Toc25810"/>
      <w:r>
        <w:rPr>
          <w:rFonts w:hint="eastAsia" w:ascii="仿宋" w:hAnsi="仿宋" w:eastAsia="仿宋"/>
          <w:b/>
          <w:szCs w:val="32"/>
          <w:lang w:val="zh-CN"/>
        </w:rPr>
        <w:t>（二）财政拨款收入支出决算总体情况</w:t>
      </w:r>
      <w:bookmarkEnd w:id="10"/>
      <w:bookmarkEnd w:id="11"/>
    </w:p>
    <w:p>
      <w:pPr>
        <w:keepNext w:val="0"/>
        <w:keepLines w:val="0"/>
        <w:pageBreakBefore w:val="0"/>
        <w:widowControl w:val="0"/>
        <w:kinsoku/>
        <w:wordWrap/>
        <w:overflowPunct/>
        <w:topLinePunct w:val="0"/>
        <w:autoSpaceDE w:val="0"/>
        <w:autoSpaceDN w:val="0"/>
        <w:bidi w:val="0"/>
        <w:adjustRightInd w:val="0"/>
        <w:snapToGrid/>
        <w:ind w:left="-320" w:leftChars="-100" w:right="-320" w:rightChars="-100" w:firstLine="640" w:firstLineChars="200"/>
        <w:textAlignment w:val="auto"/>
        <w:rPr>
          <w:rFonts w:hint="eastAsia" w:ascii="仿宋" w:hAnsi="仿宋" w:eastAsia="仿宋"/>
          <w:szCs w:val="32"/>
          <w:lang w:val="zh-CN"/>
        </w:rPr>
      </w:pPr>
      <w:r>
        <w:rPr>
          <w:rFonts w:hint="eastAsia" w:ascii="仿宋" w:hAnsi="仿宋" w:eastAsia="仿宋"/>
          <w:szCs w:val="32"/>
          <w:lang w:val="zh-CN"/>
        </w:rPr>
        <w:t>2021年度财政拨款收入决算</w:t>
      </w:r>
      <w:r>
        <w:rPr>
          <w:rFonts w:hint="eastAsia" w:ascii="仿宋" w:hAnsi="仿宋" w:eastAsia="仿宋"/>
          <w:szCs w:val="32"/>
        </w:rPr>
        <w:t>3</w:t>
      </w:r>
      <w:r>
        <w:rPr>
          <w:rFonts w:hint="eastAsia" w:ascii="仿宋" w:hAnsi="仿宋" w:eastAsia="仿宋"/>
          <w:szCs w:val="32"/>
          <w:lang w:val="en-US" w:eastAsia="zh-CN"/>
        </w:rPr>
        <w:t>,</w:t>
      </w:r>
      <w:r>
        <w:rPr>
          <w:rFonts w:hint="eastAsia" w:ascii="仿宋" w:hAnsi="仿宋" w:eastAsia="仿宋"/>
          <w:szCs w:val="32"/>
        </w:rPr>
        <w:t>979.43</w:t>
      </w:r>
      <w:r>
        <w:rPr>
          <w:rFonts w:hint="eastAsia" w:ascii="仿宋" w:hAnsi="仿宋" w:eastAsia="仿宋"/>
          <w:szCs w:val="32"/>
          <w:lang w:val="zh-CN"/>
        </w:rPr>
        <w:t>万元，比2020年度减少</w:t>
      </w:r>
      <w:r>
        <w:rPr>
          <w:rFonts w:hint="eastAsia" w:ascii="仿宋" w:hAnsi="仿宋" w:eastAsia="仿宋"/>
          <w:szCs w:val="32"/>
        </w:rPr>
        <w:t>369.6</w:t>
      </w:r>
      <w:r>
        <w:rPr>
          <w:rFonts w:hint="eastAsia" w:ascii="仿宋" w:hAnsi="仿宋" w:eastAsia="仿宋"/>
          <w:szCs w:val="32"/>
          <w:lang w:val="zh-CN"/>
        </w:rPr>
        <w:t>万元，减少</w:t>
      </w:r>
      <w:r>
        <w:rPr>
          <w:rFonts w:hint="eastAsia" w:ascii="仿宋" w:hAnsi="仿宋" w:eastAsia="仿宋"/>
          <w:szCs w:val="32"/>
        </w:rPr>
        <w:t>8.5</w:t>
      </w:r>
      <w:r>
        <w:rPr>
          <w:rFonts w:hint="eastAsia" w:ascii="仿宋" w:hAnsi="仿宋" w:eastAsia="仿宋"/>
          <w:szCs w:val="32"/>
          <w:lang w:val="zh-CN"/>
        </w:rPr>
        <w:t>%。</w:t>
      </w:r>
    </w:p>
    <w:p>
      <w:pPr>
        <w:keepNext w:val="0"/>
        <w:keepLines w:val="0"/>
        <w:pageBreakBefore w:val="0"/>
        <w:widowControl w:val="0"/>
        <w:kinsoku/>
        <w:wordWrap/>
        <w:overflowPunct/>
        <w:topLinePunct w:val="0"/>
        <w:autoSpaceDE w:val="0"/>
        <w:autoSpaceDN w:val="0"/>
        <w:bidi w:val="0"/>
        <w:adjustRightInd w:val="0"/>
        <w:snapToGrid/>
        <w:ind w:left="-320" w:leftChars="-100" w:right="-320" w:rightChars="-100" w:firstLine="640" w:firstLineChars="200"/>
        <w:textAlignment w:val="auto"/>
        <w:rPr>
          <w:rFonts w:hint="eastAsia" w:ascii="仿宋" w:hAnsi="仿宋" w:eastAsia="仿宋"/>
          <w:szCs w:val="32"/>
          <w:lang w:val="zh-CN"/>
        </w:rPr>
      </w:pPr>
      <w:r>
        <w:rPr>
          <w:rFonts w:hint="eastAsia" w:ascii="仿宋" w:hAnsi="仿宋" w:eastAsia="仿宋"/>
          <w:szCs w:val="32"/>
          <w:lang w:val="zh-CN"/>
        </w:rPr>
        <w:t>1.财政拨款收入总计</w:t>
      </w:r>
      <w:r>
        <w:rPr>
          <w:rFonts w:hint="eastAsia" w:ascii="仿宋" w:hAnsi="仿宋" w:eastAsia="仿宋"/>
          <w:szCs w:val="32"/>
        </w:rPr>
        <w:t>3</w:t>
      </w:r>
      <w:r>
        <w:rPr>
          <w:rFonts w:hint="eastAsia" w:ascii="仿宋" w:hAnsi="仿宋" w:eastAsia="仿宋"/>
          <w:szCs w:val="32"/>
          <w:lang w:val="en-US" w:eastAsia="zh-CN"/>
        </w:rPr>
        <w:t>,</w:t>
      </w:r>
      <w:r>
        <w:rPr>
          <w:rFonts w:hint="eastAsia" w:ascii="仿宋" w:hAnsi="仿宋" w:eastAsia="仿宋"/>
          <w:szCs w:val="32"/>
        </w:rPr>
        <w:t>979.43</w:t>
      </w:r>
      <w:r>
        <w:rPr>
          <w:rFonts w:hint="eastAsia" w:ascii="仿宋" w:hAnsi="仿宋" w:eastAsia="仿宋"/>
          <w:szCs w:val="32"/>
          <w:lang w:val="zh-CN"/>
        </w:rPr>
        <w:t>万元，具体包括：</w:t>
      </w:r>
    </w:p>
    <w:p>
      <w:pPr>
        <w:keepNext w:val="0"/>
        <w:keepLines w:val="0"/>
        <w:pageBreakBefore w:val="0"/>
        <w:widowControl w:val="0"/>
        <w:kinsoku/>
        <w:wordWrap/>
        <w:overflowPunct/>
        <w:topLinePunct w:val="0"/>
        <w:bidi w:val="0"/>
        <w:snapToGrid/>
        <w:spacing w:line="360" w:lineRule="auto"/>
        <w:ind w:left="-320" w:leftChars="-100" w:right="-320" w:rightChars="-100" w:firstLine="640" w:firstLineChars="200"/>
        <w:textAlignment w:val="auto"/>
        <w:rPr>
          <w:rFonts w:hint="eastAsia" w:ascii="仿宋" w:hAnsi="仿宋" w:eastAsia="仿宋" w:cs="仿宋"/>
          <w:bCs/>
          <w:szCs w:val="32"/>
        </w:rPr>
      </w:pPr>
      <w:r>
        <w:rPr>
          <w:rFonts w:hint="eastAsia" w:ascii="仿宋" w:hAnsi="仿宋" w:eastAsia="仿宋"/>
          <w:szCs w:val="32"/>
          <w:lang w:val="zh-CN"/>
        </w:rPr>
        <w:t>（1）一般公共预算财政拨款</w:t>
      </w:r>
      <w:r>
        <w:rPr>
          <w:rFonts w:hint="eastAsia" w:ascii="仿宋" w:hAnsi="仿宋" w:eastAsia="仿宋"/>
          <w:szCs w:val="32"/>
        </w:rPr>
        <w:t>3</w:t>
      </w:r>
      <w:r>
        <w:rPr>
          <w:rFonts w:hint="eastAsia" w:ascii="仿宋" w:hAnsi="仿宋" w:eastAsia="仿宋"/>
          <w:szCs w:val="32"/>
          <w:lang w:val="en-US" w:eastAsia="zh-CN"/>
        </w:rPr>
        <w:t>,</w:t>
      </w:r>
      <w:r>
        <w:rPr>
          <w:rFonts w:hint="eastAsia" w:ascii="仿宋" w:hAnsi="仿宋" w:eastAsia="仿宋"/>
          <w:szCs w:val="32"/>
        </w:rPr>
        <w:t>979.43</w:t>
      </w:r>
      <w:r>
        <w:rPr>
          <w:rFonts w:hint="eastAsia" w:ascii="仿宋" w:hAnsi="仿宋" w:eastAsia="仿宋"/>
          <w:szCs w:val="32"/>
          <w:lang w:val="zh-CN"/>
        </w:rPr>
        <w:t>万元，比2020年度减少</w:t>
      </w:r>
      <w:r>
        <w:rPr>
          <w:rFonts w:hint="eastAsia" w:ascii="仿宋" w:hAnsi="仿宋" w:eastAsia="仿宋"/>
          <w:szCs w:val="32"/>
        </w:rPr>
        <w:t>369.6</w:t>
      </w:r>
      <w:r>
        <w:rPr>
          <w:rFonts w:hint="eastAsia" w:ascii="仿宋" w:hAnsi="仿宋" w:eastAsia="仿宋"/>
          <w:szCs w:val="32"/>
          <w:lang w:val="zh-CN"/>
        </w:rPr>
        <w:t>万元，减少</w:t>
      </w:r>
      <w:r>
        <w:rPr>
          <w:rFonts w:hint="eastAsia" w:ascii="仿宋" w:hAnsi="仿宋" w:eastAsia="仿宋"/>
          <w:szCs w:val="32"/>
        </w:rPr>
        <w:t>8.5</w:t>
      </w:r>
      <w:r>
        <w:rPr>
          <w:rFonts w:hint="eastAsia" w:ascii="仿宋" w:hAnsi="仿宋" w:eastAsia="仿宋"/>
          <w:szCs w:val="32"/>
          <w:lang w:val="zh-CN"/>
        </w:rPr>
        <w:t>%</w:t>
      </w:r>
      <w:r>
        <w:rPr>
          <w:rFonts w:hint="eastAsia" w:ascii="仿宋" w:hAnsi="仿宋" w:eastAsia="仿宋"/>
          <w:szCs w:val="32"/>
        </w:rPr>
        <w:t>。</w:t>
      </w:r>
      <w:r>
        <w:rPr>
          <w:rFonts w:hint="eastAsia" w:ascii="仿宋" w:hAnsi="仿宋" w:eastAsia="仿宋"/>
          <w:szCs w:val="32"/>
          <w:lang w:val="zh-CN"/>
        </w:rPr>
        <w:t>减少的主要原因是</w:t>
      </w:r>
      <w:r>
        <w:rPr>
          <w:rFonts w:hint="eastAsia" w:ascii="仿宋" w:hAnsi="仿宋" w:eastAsia="仿宋"/>
          <w:kern w:val="0"/>
          <w:szCs w:val="32"/>
        </w:rPr>
        <w:t>本年无基本建设类项目经费</w:t>
      </w:r>
      <w:r>
        <w:rPr>
          <w:rFonts w:hint="eastAsia" w:ascii="仿宋" w:hAnsi="仿宋" w:eastAsia="仿宋" w:cs="仿宋"/>
          <w:bCs/>
          <w:szCs w:val="32"/>
        </w:rPr>
        <w:t>。</w:t>
      </w:r>
    </w:p>
    <w:p>
      <w:pPr>
        <w:keepNext w:val="0"/>
        <w:keepLines w:val="0"/>
        <w:pageBreakBefore w:val="0"/>
        <w:widowControl w:val="0"/>
        <w:kinsoku/>
        <w:wordWrap/>
        <w:overflowPunct/>
        <w:topLinePunct w:val="0"/>
        <w:bidi w:val="0"/>
        <w:snapToGrid/>
        <w:spacing w:line="360" w:lineRule="auto"/>
        <w:ind w:left="-320" w:leftChars="-100" w:right="-320" w:rightChars="-100" w:firstLine="640" w:firstLineChars="200"/>
        <w:textAlignment w:val="auto"/>
        <w:rPr>
          <w:rFonts w:hint="eastAsia" w:ascii="仿宋" w:hAnsi="仿宋" w:eastAsia="仿宋"/>
          <w:szCs w:val="32"/>
          <w:lang w:val="zh-CN"/>
        </w:rPr>
      </w:pPr>
      <w:r>
        <w:rPr>
          <w:rFonts w:hint="eastAsia" w:ascii="仿宋" w:hAnsi="仿宋" w:eastAsia="仿宋"/>
          <w:szCs w:val="32"/>
          <w:lang w:val="zh-CN"/>
        </w:rPr>
        <w:t>（2）年初财政拨款结转和结余</w:t>
      </w:r>
      <w:r>
        <w:rPr>
          <w:rFonts w:hint="eastAsia" w:ascii="仿宋" w:hAnsi="仿宋" w:eastAsia="仿宋"/>
          <w:szCs w:val="32"/>
        </w:rPr>
        <w:t>0</w:t>
      </w:r>
      <w:r>
        <w:rPr>
          <w:rFonts w:hint="eastAsia" w:ascii="仿宋" w:hAnsi="仿宋" w:eastAsia="仿宋"/>
          <w:szCs w:val="32"/>
          <w:lang w:val="zh-CN"/>
        </w:rPr>
        <w:t>万元。</w:t>
      </w:r>
    </w:p>
    <w:p>
      <w:pPr>
        <w:keepNext w:val="0"/>
        <w:keepLines w:val="0"/>
        <w:pageBreakBefore w:val="0"/>
        <w:widowControl w:val="0"/>
        <w:kinsoku/>
        <w:wordWrap/>
        <w:overflowPunct/>
        <w:topLinePunct w:val="0"/>
        <w:autoSpaceDE w:val="0"/>
        <w:autoSpaceDN w:val="0"/>
        <w:bidi w:val="0"/>
        <w:adjustRightInd w:val="0"/>
        <w:snapToGrid/>
        <w:ind w:left="-320" w:leftChars="-100" w:right="-320" w:rightChars="-100" w:firstLine="640" w:firstLineChars="200"/>
        <w:textAlignment w:val="auto"/>
        <w:rPr>
          <w:rFonts w:hint="eastAsia" w:ascii="仿宋" w:hAnsi="仿宋" w:eastAsia="仿宋"/>
          <w:szCs w:val="32"/>
          <w:lang w:val="zh-CN"/>
        </w:rPr>
      </w:pPr>
      <w:r>
        <w:rPr>
          <w:rFonts w:hint="eastAsia" w:ascii="仿宋" w:hAnsi="仿宋" w:eastAsia="仿宋"/>
          <w:szCs w:val="32"/>
          <w:lang w:val="zh-CN"/>
        </w:rPr>
        <w:t>2.财政拨款支出总计</w:t>
      </w:r>
      <w:r>
        <w:rPr>
          <w:rFonts w:hint="eastAsia" w:ascii="仿宋" w:hAnsi="仿宋" w:eastAsia="仿宋"/>
          <w:szCs w:val="32"/>
        </w:rPr>
        <w:t>3</w:t>
      </w:r>
      <w:r>
        <w:rPr>
          <w:rFonts w:hint="eastAsia" w:ascii="仿宋" w:hAnsi="仿宋" w:eastAsia="仿宋"/>
          <w:szCs w:val="32"/>
          <w:lang w:val="en-US" w:eastAsia="zh-CN"/>
        </w:rPr>
        <w:t>,</w:t>
      </w:r>
      <w:r>
        <w:rPr>
          <w:rFonts w:hint="eastAsia" w:ascii="仿宋" w:hAnsi="仿宋" w:eastAsia="仿宋"/>
          <w:szCs w:val="32"/>
        </w:rPr>
        <w:t>979.43</w:t>
      </w:r>
      <w:r>
        <w:rPr>
          <w:rFonts w:hint="eastAsia" w:ascii="仿宋" w:hAnsi="仿宋" w:eastAsia="仿宋"/>
          <w:szCs w:val="32"/>
          <w:lang w:val="zh-CN"/>
        </w:rPr>
        <w:t>万元，具体包括：</w:t>
      </w:r>
    </w:p>
    <w:p>
      <w:pPr>
        <w:keepNext w:val="0"/>
        <w:keepLines w:val="0"/>
        <w:pageBreakBefore w:val="0"/>
        <w:widowControl w:val="0"/>
        <w:kinsoku/>
        <w:wordWrap/>
        <w:overflowPunct/>
        <w:topLinePunct w:val="0"/>
        <w:bidi w:val="0"/>
        <w:snapToGrid/>
        <w:spacing w:line="360" w:lineRule="auto"/>
        <w:ind w:left="-320" w:leftChars="-100" w:right="-320" w:rightChars="-100" w:firstLine="640" w:firstLineChars="200"/>
        <w:textAlignment w:val="auto"/>
        <w:rPr>
          <w:rFonts w:hint="eastAsia" w:ascii="仿宋" w:hAnsi="仿宋" w:eastAsia="仿宋"/>
          <w:szCs w:val="32"/>
        </w:rPr>
      </w:pPr>
      <w:r>
        <w:rPr>
          <w:rFonts w:hint="eastAsia" w:ascii="仿宋" w:hAnsi="仿宋" w:eastAsia="仿宋"/>
          <w:szCs w:val="32"/>
          <w:lang w:val="zh-CN"/>
        </w:rPr>
        <w:t>（1）本年财政拨款支出</w:t>
      </w:r>
      <w:r>
        <w:rPr>
          <w:rFonts w:hint="eastAsia" w:ascii="仿宋" w:hAnsi="仿宋" w:eastAsia="仿宋"/>
          <w:szCs w:val="32"/>
        </w:rPr>
        <w:t>3</w:t>
      </w:r>
      <w:r>
        <w:rPr>
          <w:rFonts w:hint="eastAsia" w:ascii="仿宋" w:hAnsi="仿宋" w:eastAsia="仿宋"/>
          <w:szCs w:val="32"/>
          <w:lang w:val="en-US" w:eastAsia="zh-CN"/>
        </w:rPr>
        <w:t>,</w:t>
      </w:r>
      <w:r>
        <w:rPr>
          <w:rFonts w:hint="eastAsia" w:ascii="仿宋" w:hAnsi="仿宋" w:eastAsia="仿宋"/>
          <w:szCs w:val="32"/>
        </w:rPr>
        <w:t>979.43</w:t>
      </w:r>
      <w:r>
        <w:rPr>
          <w:rFonts w:hint="eastAsia" w:ascii="仿宋" w:hAnsi="仿宋" w:eastAsia="仿宋"/>
          <w:szCs w:val="32"/>
          <w:lang w:val="zh-CN"/>
        </w:rPr>
        <w:t>万元，比2020年度减少</w:t>
      </w:r>
      <w:r>
        <w:rPr>
          <w:rFonts w:hint="eastAsia" w:ascii="仿宋" w:hAnsi="仿宋" w:eastAsia="仿宋"/>
          <w:szCs w:val="32"/>
        </w:rPr>
        <w:t>369.69</w:t>
      </w:r>
      <w:r>
        <w:rPr>
          <w:rFonts w:hint="eastAsia" w:ascii="仿宋" w:hAnsi="仿宋" w:eastAsia="仿宋"/>
          <w:szCs w:val="32"/>
          <w:lang w:val="zh-CN"/>
        </w:rPr>
        <w:t>万元，减少</w:t>
      </w:r>
      <w:r>
        <w:rPr>
          <w:rFonts w:hint="eastAsia" w:ascii="仿宋" w:hAnsi="仿宋" w:eastAsia="仿宋"/>
          <w:szCs w:val="32"/>
        </w:rPr>
        <w:t>8.5</w:t>
      </w:r>
      <w:r>
        <w:rPr>
          <w:rFonts w:hint="eastAsia" w:ascii="仿宋" w:hAnsi="仿宋" w:eastAsia="仿宋"/>
          <w:szCs w:val="32"/>
          <w:lang w:val="zh-CN"/>
        </w:rPr>
        <w:t>%，主要原因是</w:t>
      </w:r>
      <w:r>
        <w:rPr>
          <w:rFonts w:hint="eastAsia" w:ascii="仿宋" w:hAnsi="仿宋" w:eastAsia="仿宋"/>
          <w:kern w:val="0"/>
          <w:szCs w:val="32"/>
        </w:rPr>
        <w:t>本年无基本建设类项目经费</w:t>
      </w:r>
      <w:r>
        <w:rPr>
          <w:rFonts w:hint="eastAsia" w:ascii="仿宋" w:hAnsi="仿宋" w:eastAsia="仿宋" w:cs="仿宋"/>
          <w:bCs/>
          <w:szCs w:val="32"/>
        </w:rPr>
        <w:t>；比年初预算数减少60.84万元，减少1.5%，主要原因是因清理规范津补贴，部分人员经费暂未发放。</w:t>
      </w:r>
      <w:r>
        <w:rPr>
          <w:rFonts w:hint="eastAsia" w:ascii="仿宋" w:hAnsi="仿宋" w:eastAsia="仿宋"/>
          <w:szCs w:val="32"/>
          <w:lang w:val="zh-CN"/>
        </w:rPr>
        <w:t>本年财政拨款支出</w:t>
      </w:r>
      <w:r>
        <w:rPr>
          <w:rFonts w:hint="eastAsia" w:ascii="仿宋" w:hAnsi="仿宋" w:eastAsia="仿宋"/>
          <w:szCs w:val="32"/>
        </w:rPr>
        <w:t>3</w:t>
      </w:r>
      <w:r>
        <w:rPr>
          <w:rFonts w:hint="eastAsia" w:ascii="仿宋" w:hAnsi="仿宋" w:eastAsia="仿宋"/>
          <w:szCs w:val="32"/>
          <w:lang w:val="en-US" w:eastAsia="zh-CN"/>
        </w:rPr>
        <w:t>,</w:t>
      </w:r>
      <w:r>
        <w:rPr>
          <w:rFonts w:hint="eastAsia" w:ascii="仿宋" w:hAnsi="仿宋" w:eastAsia="仿宋"/>
          <w:szCs w:val="32"/>
        </w:rPr>
        <w:t>979.43</w:t>
      </w:r>
      <w:r>
        <w:rPr>
          <w:rFonts w:hint="eastAsia" w:ascii="仿宋" w:hAnsi="仿宋" w:eastAsia="仿宋"/>
          <w:szCs w:val="32"/>
          <w:lang w:val="zh-CN"/>
        </w:rPr>
        <w:t>万元，其中：</w:t>
      </w:r>
      <w:r>
        <w:rPr>
          <w:rFonts w:hint="eastAsia" w:ascii="仿宋" w:hAnsi="仿宋" w:eastAsia="仿宋"/>
          <w:szCs w:val="32"/>
        </w:rPr>
        <w:t>公共安全支出3</w:t>
      </w:r>
      <w:r>
        <w:rPr>
          <w:rFonts w:hint="eastAsia" w:ascii="仿宋" w:hAnsi="仿宋" w:eastAsia="仿宋"/>
          <w:szCs w:val="32"/>
          <w:lang w:val="en-US" w:eastAsia="zh-CN"/>
        </w:rPr>
        <w:t>,</w:t>
      </w:r>
      <w:r>
        <w:rPr>
          <w:rFonts w:hint="eastAsia" w:ascii="仿宋" w:hAnsi="仿宋" w:eastAsia="仿宋"/>
          <w:szCs w:val="32"/>
        </w:rPr>
        <w:t>768.43万元，占比94.7%；社会保障和就业支出211万元，占比5.3%。</w:t>
      </w:r>
    </w:p>
    <w:p>
      <w:pPr>
        <w:keepNext w:val="0"/>
        <w:keepLines w:val="0"/>
        <w:pageBreakBefore w:val="0"/>
        <w:widowControl w:val="0"/>
        <w:kinsoku/>
        <w:wordWrap/>
        <w:overflowPunct/>
        <w:topLinePunct w:val="0"/>
        <w:autoSpaceDE w:val="0"/>
        <w:autoSpaceDN w:val="0"/>
        <w:bidi w:val="0"/>
        <w:adjustRightInd w:val="0"/>
        <w:snapToGrid/>
        <w:ind w:left="-320" w:leftChars="-100" w:right="-320" w:rightChars="-100" w:firstLine="640" w:firstLineChars="200"/>
        <w:textAlignment w:val="auto"/>
        <w:rPr>
          <w:rFonts w:hint="eastAsia" w:ascii="仿宋" w:hAnsi="仿宋" w:eastAsia="仿宋"/>
          <w:szCs w:val="32"/>
          <w:lang w:val="zh-CN"/>
        </w:rPr>
      </w:pPr>
      <w:r>
        <w:rPr>
          <w:rFonts w:hint="eastAsia" w:ascii="仿宋" w:hAnsi="仿宋" w:eastAsia="仿宋"/>
          <w:szCs w:val="32"/>
          <w:lang w:val="zh-CN"/>
        </w:rPr>
        <w:t>（2）年末财政拨款结转和结余</w:t>
      </w:r>
      <w:r>
        <w:rPr>
          <w:rFonts w:hint="eastAsia" w:ascii="仿宋" w:hAnsi="仿宋" w:eastAsia="仿宋"/>
          <w:szCs w:val="32"/>
        </w:rPr>
        <w:t>0</w:t>
      </w:r>
      <w:r>
        <w:rPr>
          <w:rFonts w:hint="eastAsia" w:ascii="仿宋" w:hAnsi="仿宋" w:eastAsia="仿宋"/>
          <w:szCs w:val="32"/>
          <w:lang w:val="zh-CN"/>
        </w:rPr>
        <w:t>万元。</w:t>
      </w:r>
    </w:p>
    <w:p>
      <w:pPr>
        <w:keepNext w:val="0"/>
        <w:keepLines w:val="0"/>
        <w:pageBreakBefore w:val="0"/>
        <w:widowControl w:val="0"/>
        <w:kinsoku/>
        <w:wordWrap/>
        <w:overflowPunct/>
        <w:topLinePunct w:val="0"/>
        <w:autoSpaceDE w:val="0"/>
        <w:autoSpaceDN w:val="0"/>
        <w:bidi w:val="0"/>
        <w:adjustRightInd w:val="0"/>
        <w:snapToGrid/>
        <w:ind w:left="-320" w:leftChars="-100" w:right="-320" w:rightChars="-100" w:firstLine="643" w:firstLineChars="200"/>
        <w:textAlignment w:val="auto"/>
        <w:outlineLvl w:val="1"/>
        <w:rPr>
          <w:rFonts w:hint="eastAsia" w:ascii="仿宋" w:hAnsi="仿宋" w:eastAsia="仿宋"/>
          <w:b/>
          <w:szCs w:val="32"/>
          <w:lang w:val="zh-CN"/>
        </w:rPr>
      </w:pPr>
      <w:bookmarkStart w:id="12" w:name="_Toc8269"/>
      <w:bookmarkStart w:id="13" w:name="_Toc27369"/>
      <w:r>
        <w:rPr>
          <w:rFonts w:hint="eastAsia" w:ascii="仿宋" w:hAnsi="仿宋" w:eastAsia="仿宋"/>
          <w:b/>
          <w:szCs w:val="32"/>
          <w:lang w:val="zh-CN"/>
        </w:rPr>
        <w:t>（三）一般公共预算财政拨款基本支出决算情况</w:t>
      </w:r>
      <w:bookmarkEnd w:id="12"/>
      <w:bookmarkEnd w:id="13"/>
    </w:p>
    <w:p>
      <w:pPr>
        <w:keepNext w:val="0"/>
        <w:keepLines w:val="0"/>
        <w:pageBreakBefore w:val="0"/>
        <w:widowControl w:val="0"/>
        <w:kinsoku/>
        <w:wordWrap/>
        <w:overflowPunct/>
        <w:topLinePunct w:val="0"/>
        <w:autoSpaceDE w:val="0"/>
        <w:autoSpaceDN w:val="0"/>
        <w:bidi w:val="0"/>
        <w:adjustRightInd w:val="0"/>
        <w:snapToGrid/>
        <w:ind w:left="-320" w:leftChars="-100" w:right="-320" w:rightChars="-100" w:firstLine="640" w:firstLineChars="200"/>
        <w:textAlignment w:val="auto"/>
        <w:rPr>
          <w:rFonts w:hint="eastAsia" w:ascii="仿宋" w:hAnsi="仿宋" w:eastAsia="仿宋"/>
          <w:szCs w:val="32"/>
          <w:lang w:val="zh-CN"/>
        </w:rPr>
      </w:pPr>
      <w:r>
        <w:rPr>
          <w:rFonts w:hint="eastAsia" w:ascii="仿宋" w:hAnsi="仿宋" w:eastAsia="仿宋"/>
          <w:szCs w:val="32"/>
          <w:lang w:val="zh-CN"/>
        </w:rPr>
        <w:t>2021年度</w:t>
      </w:r>
      <w:r>
        <w:rPr>
          <w:rFonts w:hint="eastAsia" w:ascii="仿宋" w:hAnsi="仿宋" w:eastAsia="仿宋"/>
          <w:szCs w:val="32"/>
          <w:lang w:val="zh-CN" w:eastAsia="zh-CN"/>
        </w:rPr>
        <w:t>本单位</w:t>
      </w:r>
      <w:r>
        <w:rPr>
          <w:rFonts w:hint="eastAsia" w:ascii="仿宋" w:hAnsi="仿宋" w:eastAsia="仿宋"/>
          <w:szCs w:val="32"/>
          <w:lang w:val="zh-CN"/>
        </w:rPr>
        <w:t>一般公共预算财政拨款基本支出</w:t>
      </w:r>
      <w:r>
        <w:rPr>
          <w:rFonts w:hint="eastAsia" w:ascii="仿宋" w:hAnsi="仿宋" w:eastAsia="仿宋"/>
          <w:szCs w:val="32"/>
        </w:rPr>
        <w:t>3</w:t>
      </w:r>
      <w:r>
        <w:rPr>
          <w:rFonts w:hint="eastAsia" w:ascii="仿宋" w:hAnsi="仿宋" w:eastAsia="仿宋"/>
          <w:szCs w:val="32"/>
          <w:lang w:val="en-US" w:eastAsia="zh-CN"/>
        </w:rPr>
        <w:t>,</w:t>
      </w:r>
      <w:r>
        <w:rPr>
          <w:rFonts w:hint="eastAsia" w:ascii="仿宋" w:hAnsi="仿宋" w:eastAsia="仿宋"/>
          <w:szCs w:val="32"/>
        </w:rPr>
        <w:t>291.47</w:t>
      </w:r>
      <w:r>
        <w:rPr>
          <w:rFonts w:hint="eastAsia" w:ascii="仿宋" w:hAnsi="仿宋" w:eastAsia="仿宋"/>
          <w:szCs w:val="32"/>
          <w:lang w:val="zh-CN"/>
        </w:rPr>
        <w:t>万元，比2020年度增加</w:t>
      </w:r>
      <w:r>
        <w:rPr>
          <w:rFonts w:hint="eastAsia" w:ascii="仿宋" w:hAnsi="仿宋" w:eastAsia="仿宋"/>
          <w:szCs w:val="32"/>
        </w:rPr>
        <w:t>25.9</w:t>
      </w:r>
      <w:r>
        <w:rPr>
          <w:rFonts w:hint="eastAsia" w:ascii="仿宋" w:hAnsi="仿宋" w:eastAsia="仿宋"/>
          <w:szCs w:val="32"/>
          <w:lang w:val="zh-CN"/>
        </w:rPr>
        <w:t>万元，增加</w:t>
      </w:r>
      <w:r>
        <w:rPr>
          <w:rFonts w:hint="eastAsia" w:ascii="仿宋" w:hAnsi="仿宋" w:eastAsia="仿宋"/>
          <w:szCs w:val="32"/>
        </w:rPr>
        <w:t>0.</w:t>
      </w:r>
      <w:r>
        <w:rPr>
          <w:rFonts w:hint="eastAsia" w:ascii="仿宋" w:hAnsi="仿宋" w:eastAsia="仿宋"/>
          <w:szCs w:val="32"/>
          <w:lang w:val="en-US" w:eastAsia="zh-CN"/>
        </w:rPr>
        <w:t>8</w:t>
      </w:r>
      <w:r>
        <w:rPr>
          <w:rFonts w:hint="eastAsia" w:ascii="仿宋" w:hAnsi="仿宋" w:eastAsia="仿宋"/>
          <w:szCs w:val="32"/>
          <w:lang w:val="zh-CN"/>
        </w:rPr>
        <w:t>%，增加的主要原因是</w:t>
      </w:r>
      <w:r>
        <w:rPr>
          <w:rFonts w:hint="eastAsia" w:ascii="仿宋" w:hAnsi="仿宋" w:eastAsia="仿宋" w:cs="仿宋"/>
          <w:bCs/>
          <w:szCs w:val="32"/>
        </w:rPr>
        <w:t>本年新招录人员使基本支出增加</w:t>
      </w:r>
      <w:r>
        <w:rPr>
          <w:rFonts w:hint="eastAsia" w:ascii="仿宋" w:hAnsi="仿宋" w:eastAsia="仿宋"/>
          <w:szCs w:val="32"/>
          <w:lang w:val="zh-CN"/>
        </w:rPr>
        <w:t>。一般公共预算财政拨款基本支出比年初预算增加</w:t>
      </w:r>
      <w:r>
        <w:rPr>
          <w:rFonts w:hint="eastAsia" w:ascii="仿宋" w:hAnsi="仿宋" w:eastAsia="仿宋"/>
          <w:szCs w:val="32"/>
        </w:rPr>
        <w:t>7.47</w:t>
      </w:r>
      <w:r>
        <w:rPr>
          <w:rFonts w:hint="eastAsia" w:ascii="仿宋" w:hAnsi="仿宋" w:eastAsia="仿宋"/>
          <w:szCs w:val="32"/>
          <w:lang w:val="zh-CN"/>
        </w:rPr>
        <w:t>万元，增加</w:t>
      </w:r>
      <w:r>
        <w:rPr>
          <w:rFonts w:hint="eastAsia" w:ascii="仿宋" w:hAnsi="仿宋" w:eastAsia="仿宋"/>
          <w:szCs w:val="32"/>
        </w:rPr>
        <w:t>0.2</w:t>
      </w:r>
      <w:r>
        <w:rPr>
          <w:rFonts w:hint="eastAsia" w:ascii="仿宋" w:hAnsi="仿宋" w:eastAsia="仿宋"/>
          <w:szCs w:val="32"/>
          <w:lang w:val="zh-CN"/>
        </w:rPr>
        <w:t>%，主要原因是</w:t>
      </w:r>
      <w:r>
        <w:rPr>
          <w:rFonts w:hint="eastAsia" w:ascii="仿宋" w:hAnsi="仿宋" w:eastAsia="仿宋" w:cs="仿宋"/>
          <w:bCs/>
          <w:szCs w:val="32"/>
        </w:rPr>
        <w:t>本年新招录人员使基本支出较年初预算增加</w:t>
      </w:r>
      <w:r>
        <w:rPr>
          <w:rFonts w:hint="eastAsia" w:ascii="仿宋" w:hAnsi="仿宋" w:eastAsia="仿宋"/>
          <w:szCs w:val="32"/>
          <w:lang w:val="zh-CN"/>
        </w:rPr>
        <w:t>。</w:t>
      </w:r>
    </w:p>
    <w:p>
      <w:pPr>
        <w:ind w:left="-320" w:leftChars="-100" w:right="-320" w:rightChars="-100" w:firstLine="643" w:firstLineChars="200"/>
        <w:outlineLvl w:val="0"/>
        <w:rPr>
          <w:rFonts w:hint="eastAsia" w:ascii="仿宋" w:hAnsi="仿宋" w:eastAsia="仿宋"/>
          <w:b/>
          <w:szCs w:val="32"/>
        </w:rPr>
      </w:pPr>
      <w:bookmarkStart w:id="14" w:name="_Toc5701"/>
      <w:bookmarkStart w:id="15" w:name="_Toc19934"/>
      <w:r>
        <w:rPr>
          <w:rFonts w:hint="eastAsia" w:ascii="仿宋" w:hAnsi="仿宋" w:eastAsia="仿宋"/>
          <w:b/>
          <w:szCs w:val="32"/>
          <w:lang w:val="zh-CN"/>
        </w:rPr>
        <w:t>三、</w:t>
      </w:r>
      <w:r>
        <w:rPr>
          <w:rFonts w:hint="eastAsia" w:ascii="仿宋" w:hAnsi="仿宋" w:eastAsia="仿宋"/>
          <w:b/>
          <w:szCs w:val="32"/>
        </w:rPr>
        <w:t>关于“三公”经费支出说明</w:t>
      </w:r>
      <w:bookmarkEnd w:id="14"/>
      <w:bookmarkEnd w:id="15"/>
    </w:p>
    <w:p>
      <w:pPr>
        <w:ind w:left="-320" w:leftChars="-100" w:right="-320" w:rightChars="-100" w:firstLine="709"/>
        <w:rPr>
          <w:rFonts w:hint="eastAsia" w:ascii="仿宋" w:hAnsi="仿宋" w:eastAsia="仿宋"/>
          <w:szCs w:val="32"/>
        </w:rPr>
      </w:pPr>
      <w:r>
        <w:rPr>
          <w:rFonts w:hint="eastAsia" w:ascii="仿宋" w:hAnsi="仿宋" w:eastAsia="仿宋"/>
          <w:szCs w:val="32"/>
        </w:rPr>
        <w:t>2021年度</w:t>
      </w:r>
      <w:r>
        <w:rPr>
          <w:rFonts w:hint="eastAsia" w:ascii="仿宋" w:hAnsi="仿宋" w:eastAsia="仿宋"/>
          <w:szCs w:val="32"/>
          <w:lang w:eastAsia="zh-CN"/>
        </w:rPr>
        <w:t>本单位</w:t>
      </w:r>
      <w:r>
        <w:rPr>
          <w:rFonts w:hint="eastAsia" w:ascii="仿宋" w:hAnsi="仿宋" w:eastAsia="仿宋"/>
          <w:szCs w:val="32"/>
        </w:rPr>
        <w:t>三公经费包括：</w:t>
      </w:r>
      <w:r>
        <w:rPr>
          <w:rFonts w:hint="eastAsia" w:ascii="仿宋" w:hAnsi="仿宋" w:eastAsia="仿宋"/>
          <w:szCs w:val="32"/>
          <w:lang w:eastAsia="zh-CN"/>
        </w:rPr>
        <w:t>因公出国（境）费</w:t>
      </w:r>
      <w:r>
        <w:rPr>
          <w:rFonts w:hint="eastAsia" w:ascii="仿宋" w:hAnsi="仿宋" w:eastAsia="仿宋"/>
          <w:szCs w:val="32"/>
        </w:rPr>
        <w:t>、公务用车购置费</w:t>
      </w:r>
      <w:r>
        <w:rPr>
          <w:rFonts w:hint="eastAsia" w:ascii="仿宋" w:hAnsi="仿宋" w:eastAsia="仿宋"/>
          <w:szCs w:val="32"/>
          <w:lang w:eastAsia="zh-CN"/>
        </w:rPr>
        <w:t>、</w:t>
      </w:r>
      <w:r>
        <w:rPr>
          <w:rFonts w:hint="eastAsia" w:ascii="仿宋" w:hAnsi="仿宋" w:eastAsia="仿宋"/>
          <w:szCs w:val="32"/>
        </w:rPr>
        <w:t>公务用车运行维护费以及公务接待费。2021年度财政拨款三公经费决算数74.07万元，与2020年度决算相比减少15.35万元，减少了17.</w:t>
      </w:r>
      <w:r>
        <w:rPr>
          <w:rFonts w:hint="eastAsia" w:ascii="仿宋" w:hAnsi="仿宋" w:eastAsia="仿宋"/>
          <w:szCs w:val="32"/>
          <w:lang w:val="en-US" w:eastAsia="zh-CN"/>
        </w:rPr>
        <w:t>2</w:t>
      </w:r>
      <w:r>
        <w:rPr>
          <w:rFonts w:ascii="仿宋" w:hAnsi="仿宋" w:eastAsia="仿宋"/>
          <w:szCs w:val="32"/>
        </w:rPr>
        <w:t>%</w:t>
      </w:r>
      <w:r>
        <w:rPr>
          <w:rFonts w:hint="eastAsia" w:ascii="仿宋" w:hAnsi="仿宋" w:eastAsia="仿宋"/>
          <w:szCs w:val="32"/>
        </w:rPr>
        <w:t>；与202</w:t>
      </w:r>
      <w:r>
        <w:rPr>
          <w:rFonts w:hint="eastAsia" w:ascii="仿宋" w:hAnsi="仿宋" w:eastAsia="仿宋"/>
          <w:szCs w:val="32"/>
          <w:lang w:val="en-US" w:eastAsia="zh-CN"/>
        </w:rPr>
        <w:t>1</w:t>
      </w:r>
      <w:r>
        <w:rPr>
          <w:rFonts w:hint="eastAsia" w:ascii="仿宋" w:hAnsi="仿宋" w:eastAsia="仿宋"/>
          <w:szCs w:val="32"/>
        </w:rPr>
        <w:t>年度预算数相比</w:t>
      </w:r>
      <w:r>
        <w:rPr>
          <w:rFonts w:hint="eastAsia" w:ascii="仿宋" w:hAnsi="仿宋" w:eastAsia="仿宋"/>
          <w:szCs w:val="32"/>
          <w:lang w:eastAsia="zh-CN"/>
        </w:rPr>
        <w:t>减少</w:t>
      </w:r>
      <w:r>
        <w:rPr>
          <w:rFonts w:hint="eastAsia" w:ascii="仿宋" w:hAnsi="仿宋" w:eastAsia="仿宋"/>
          <w:szCs w:val="32"/>
          <w:lang w:val="en-US" w:eastAsia="zh-CN"/>
        </w:rPr>
        <w:t>11.03</w:t>
      </w:r>
      <w:r>
        <w:rPr>
          <w:rFonts w:hint="eastAsia" w:ascii="仿宋" w:hAnsi="仿宋" w:eastAsia="仿宋"/>
          <w:szCs w:val="32"/>
        </w:rPr>
        <w:t>万元，</w:t>
      </w:r>
      <w:r>
        <w:rPr>
          <w:rFonts w:hint="eastAsia" w:ascii="仿宋" w:hAnsi="仿宋" w:eastAsia="仿宋"/>
          <w:szCs w:val="32"/>
          <w:lang w:eastAsia="zh-CN"/>
        </w:rPr>
        <w:t>减少</w:t>
      </w:r>
      <w:r>
        <w:rPr>
          <w:rFonts w:hint="eastAsia" w:ascii="仿宋" w:hAnsi="仿宋" w:eastAsia="仿宋"/>
          <w:szCs w:val="32"/>
          <w:lang w:val="en-US" w:eastAsia="zh-CN"/>
        </w:rPr>
        <w:t>13</w:t>
      </w:r>
      <w:r>
        <w:rPr>
          <w:rFonts w:ascii="仿宋" w:hAnsi="仿宋" w:eastAsia="仿宋"/>
          <w:szCs w:val="32"/>
        </w:rPr>
        <w:t>%</w:t>
      </w:r>
      <w:r>
        <w:rPr>
          <w:rFonts w:hint="eastAsia" w:ascii="仿宋" w:hAnsi="仿宋" w:eastAsia="仿宋"/>
          <w:szCs w:val="32"/>
        </w:rPr>
        <w:t>。其中：</w:t>
      </w:r>
    </w:p>
    <w:p>
      <w:pPr>
        <w:keepNext w:val="0"/>
        <w:keepLines w:val="0"/>
        <w:pageBreakBefore w:val="0"/>
        <w:widowControl w:val="0"/>
        <w:kinsoku/>
        <w:wordWrap/>
        <w:overflowPunct/>
        <w:topLinePunct w:val="0"/>
        <w:autoSpaceDE/>
        <w:autoSpaceDN/>
        <w:bidi w:val="0"/>
        <w:adjustRightInd/>
        <w:snapToGrid/>
        <w:ind w:left="-320" w:leftChars="-100" w:right="-320" w:rightChars="-100" w:firstLine="640" w:firstLineChars="200"/>
        <w:textAlignment w:val="auto"/>
        <w:rPr>
          <w:rFonts w:hint="default" w:ascii="仿宋" w:hAnsi="仿宋" w:eastAsia="仿宋"/>
          <w:szCs w:val="32"/>
          <w:lang w:val="en-US" w:eastAsia="zh-CN"/>
        </w:rPr>
      </w:pPr>
      <w:r>
        <w:rPr>
          <w:rFonts w:hint="eastAsia" w:ascii="仿宋" w:hAnsi="仿宋" w:eastAsia="仿宋"/>
          <w:szCs w:val="32"/>
          <w:lang w:eastAsia="zh-CN"/>
        </w:rPr>
        <w:t>（一）因公出国（境）费决算</w:t>
      </w:r>
      <w:r>
        <w:rPr>
          <w:rFonts w:hint="eastAsia" w:ascii="仿宋" w:hAnsi="仿宋" w:eastAsia="仿宋"/>
          <w:szCs w:val="32"/>
          <w:lang w:val="en-US" w:eastAsia="zh-CN"/>
        </w:rPr>
        <w:t>0万元。较上年决算数持平，原因是继续落实“过紧日子”要求，2021年度本单位无因公出国（境）计划,</w:t>
      </w:r>
      <w:r>
        <w:rPr>
          <w:rFonts w:hint="eastAsia" w:ascii="仿宋" w:hAnsi="仿宋" w:eastAsia="仿宋"/>
          <w:szCs w:val="32"/>
          <w:lang w:eastAsia="zh-CN"/>
        </w:rPr>
        <w:t>全年支出涉及出国（境）团组0个，累计0人次。</w:t>
      </w:r>
    </w:p>
    <w:p>
      <w:pPr>
        <w:keepNext w:val="0"/>
        <w:keepLines w:val="0"/>
        <w:pageBreakBefore w:val="0"/>
        <w:widowControl w:val="0"/>
        <w:kinsoku/>
        <w:wordWrap/>
        <w:overflowPunct/>
        <w:topLinePunct w:val="0"/>
        <w:autoSpaceDE/>
        <w:autoSpaceDN/>
        <w:bidi w:val="0"/>
        <w:adjustRightInd/>
        <w:snapToGrid/>
        <w:ind w:left="-320" w:leftChars="-100" w:right="-320" w:rightChars="-100" w:firstLine="640" w:firstLineChars="200"/>
        <w:textAlignment w:val="auto"/>
        <w:rPr>
          <w:rFonts w:ascii="仿宋" w:hAnsi="仿宋" w:eastAsia="仿宋"/>
          <w:szCs w:val="32"/>
        </w:rPr>
      </w:pPr>
      <w:r>
        <w:rPr>
          <w:rFonts w:hint="eastAsia" w:ascii="仿宋" w:hAnsi="仿宋" w:eastAsia="仿宋"/>
          <w:szCs w:val="32"/>
          <w:lang w:eastAsia="zh-CN"/>
        </w:rPr>
        <w:t>（二）</w:t>
      </w:r>
      <w:r>
        <w:rPr>
          <w:rFonts w:hint="eastAsia" w:ascii="仿宋" w:hAnsi="仿宋" w:eastAsia="仿宋"/>
          <w:szCs w:val="32"/>
        </w:rPr>
        <w:t>公务用车购置费决算32.61万元。与年初预算相比增加2.61万元；与2020年度决算数相比减少5.45万元。</w:t>
      </w:r>
      <w:r>
        <w:rPr>
          <w:rFonts w:hint="eastAsia" w:ascii="仿宋" w:hAnsi="仿宋" w:eastAsia="仿宋" w:cs="仿宋"/>
          <w:szCs w:val="32"/>
        </w:rPr>
        <w:t>本年购置公务用车2辆，公务用车保有量共20辆。</w:t>
      </w:r>
    </w:p>
    <w:p>
      <w:pPr>
        <w:ind w:left="-320" w:leftChars="-100" w:right="-320" w:rightChars="-100" w:firstLine="709"/>
        <w:rPr>
          <w:rFonts w:ascii="仿宋" w:hAnsi="仿宋" w:eastAsia="仿宋"/>
          <w:szCs w:val="32"/>
        </w:rPr>
      </w:pPr>
      <w:r>
        <w:rPr>
          <w:rFonts w:hint="eastAsia" w:ascii="仿宋" w:hAnsi="仿宋" w:eastAsia="仿宋"/>
          <w:szCs w:val="32"/>
        </w:rPr>
        <w:t>1.公务用车购置决算数与年初预算相比增加的主要原因是：因预算编制时车辆购置税无法编入车辆购置费中，但车辆购置费需计入车辆价值，故决算数与年初预算相比增加。</w:t>
      </w:r>
    </w:p>
    <w:p>
      <w:pPr>
        <w:ind w:left="-320" w:leftChars="-100" w:right="-320" w:rightChars="-100" w:firstLine="709"/>
        <w:rPr>
          <w:rFonts w:ascii="仿宋" w:hAnsi="仿宋" w:eastAsia="仿宋"/>
          <w:szCs w:val="32"/>
        </w:rPr>
      </w:pPr>
      <w:r>
        <w:rPr>
          <w:rFonts w:hint="eastAsia" w:ascii="仿宋" w:hAnsi="仿宋" w:eastAsia="仿宋"/>
          <w:szCs w:val="32"/>
        </w:rPr>
        <w:t>2.公务用车购置决算数相比上年有所降低的主要原因是：2021年度潜江法院全年使用财政拨款资金实际购置公务用车2辆，本年未购置特种专业技术用车，车辆价值较上年低，因此公务用车购置费相比2020年度减少。</w:t>
      </w:r>
    </w:p>
    <w:p>
      <w:pPr>
        <w:ind w:left="-320" w:leftChars="-100" w:right="-320" w:rightChars="-100" w:firstLine="709"/>
        <w:rPr>
          <w:rFonts w:hint="eastAsia" w:ascii="仿宋" w:hAnsi="仿宋" w:eastAsia="仿宋"/>
          <w:szCs w:val="32"/>
        </w:rPr>
      </w:pPr>
      <w:r>
        <w:rPr>
          <w:rFonts w:hint="eastAsia" w:ascii="仿宋" w:hAnsi="仿宋" w:eastAsia="仿宋"/>
          <w:szCs w:val="32"/>
          <w:lang w:eastAsia="zh-CN"/>
        </w:rPr>
        <w:t>（三）</w:t>
      </w:r>
      <w:r>
        <w:rPr>
          <w:rFonts w:hint="eastAsia" w:ascii="仿宋" w:hAnsi="仿宋" w:eastAsia="仿宋"/>
          <w:szCs w:val="32"/>
        </w:rPr>
        <w:t>公务用车运行维护费决算36.83万元。与年初预算相比减少12.57万，下降幅度25.</w:t>
      </w:r>
      <w:r>
        <w:rPr>
          <w:rFonts w:hint="eastAsia" w:ascii="仿宋" w:hAnsi="仿宋" w:eastAsia="仿宋"/>
          <w:szCs w:val="32"/>
          <w:lang w:val="en-US" w:eastAsia="zh-CN"/>
        </w:rPr>
        <w:t>5</w:t>
      </w:r>
      <w:r>
        <w:rPr>
          <w:rFonts w:ascii="仿宋" w:hAnsi="仿宋" w:eastAsia="仿宋"/>
          <w:szCs w:val="32"/>
        </w:rPr>
        <w:t>%</w:t>
      </w:r>
      <w:r>
        <w:rPr>
          <w:rFonts w:hint="eastAsia" w:ascii="仿宋" w:hAnsi="仿宋" w:eastAsia="仿宋"/>
          <w:szCs w:val="32"/>
        </w:rPr>
        <w:t>；与2020年度决算数相比，减少9.68万，下降幅度20.8</w:t>
      </w:r>
      <w:r>
        <w:rPr>
          <w:rFonts w:ascii="仿宋" w:hAnsi="仿宋" w:eastAsia="仿宋"/>
          <w:szCs w:val="32"/>
        </w:rPr>
        <w:t>%</w:t>
      </w:r>
      <w:r>
        <w:rPr>
          <w:rFonts w:hint="eastAsia" w:ascii="仿宋" w:hAnsi="仿宋" w:eastAsia="仿宋"/>
          <w:szCs w:val="32"/>
        </w:rPr>
        <w:t>。与年初预算和决算数相比均下降的主要原因是厉行节约，降低了公务用车运行成本。</w:t>
      </w:r>
    </w:p>
    <w:p>
      <w:pPr>
        <w:ind w:left="-320" w:leftChars="-100" w:right="-320" w:rightChars="-100" w:firstLine="709"/>
        <w:rPr>
          <w:rFonts w:ascii="仿宋" w:hAnsi="仿宋" w:eastAsia="仿宋"/>
          <w:szCs w:val="32"/>
        </w:rPr>
      </w:pPr>
      <w:r>
        <w:rPr>
          <w:rFonts w:hint="eastAsia" w:ascii="仿宋" w:hAnsi="仿宋" w:eastAsia="仿宋"/>
          <w:szCs w:val="32"/>
          <w:lang w:eastAsia="zh-CN"/>
        </w:rPr>
        <w:t>（四）</w:t>
      </w:r>
      <w:r>
        <w:rPr>
          <w:rFonts w:hint="eastAsia" w:ascii="仿宋" w:hAnsi="仿宋" w:eastAsia="仿宋"/>
          <w:szCs w:val="32"/>
        </w:rPr>
        <w:t>公务接待费决算4.62万元。与年初预算相比减少1.08万元，下降幅度1</w:t>
      </w:r>
      <w:r>
        <w:rPr>
          <w:rFonts w:hint="eastAsia" w:ascii="仿宋" w:hAnsi="仿宋" w:eastAsia="仿宋"/>
          <w:szCs w:val="32"/>
          <w:lang w:val="en-US" w:eastAsia="zh-CN"/>
        </w:rPr>
        <w:t>9</w:t>
      </w:r>
      <w:r>
        <w:rPr>
          <w:rFonts w:ascii="仿宋" w:hAnsi="仿宋" w:eastAsia="仿宋"/>
          <w:szCs w:val="32"/>
        </w:rPr>
        <w:t>%</w:t>
      </w:r>
      <w:r>
        <w:rPr>
          <w:rFonts w:hint="eastAsia" w:ascii="仿宋" w:hAnsi="仿宋" w:eastAsia="仿宋"/>
          <w:szCs w:val="32"/>
        </w:rPr>
        <w:t>；与2020年度决算相比减少0.22万元，下降幅度4.</w:t>
      </w:r>
      <w:r>
        <w:rPr>
          <w:rFonts w:hint="eastAsia" w:ascii="仿宋" w:hAnsi="仿宋" w:eastAsia="仿宋"/>
          <w:szCs w:val="32"/>
          <w:lang w:val="en-US" w:eastAsia="zh-CN"/>
        </w:rPr>
        <w:t>6</w:t>
      </w:r>
      <w:r>
        <w:rPr>
          <w:rFonts w:ascii="仿宋" w:hAnsi="仿宋" w:eastAsia="仿宋"/>
          <w:szCs w:val="32"/>
        </w:rPr>
        <w:t>%</w:t>
      </w:r>
      <w:r>
        <w:rPr>
          <w:rFonts w:hint="eastAsia" w:ascii="仿宋" w:hAnsi="仿宋" w:eastAsia="仿宋"/>
          <w:szCs w:val="32"/>
        </w:rPr>
        <w:t>。与年初预算和决算数均下降的主要原因是严格执行中央及省委、省政府有关政策规定，严格加强财务管理，厉行节约，压缩公务接待费。全年公务接待批次81次，接待人次770人。</w:t>
      </w:r>
    </w:p>
    <w:p>
      <w:pPr>
        <w:autoSpaceDE w:val="0"/>
        <w:autoSpaceDN w:val="0"/>
        <w:adjustRightInd w:val="0"/>
        <w:ind w:left="-320" w:leftChars="-100" w:right="-320" w:rightChars="-100" w:firstLine="643" w:firstLineChars="200"/>
        <w:outlineLvl w:val="0"/>
        <w:rPr>
          <w:rFonts w:hint="eastAsia" w:ascii="仿宋" w:hAnsi="仿宋" w:eastAsia="仿宋"/>
          <w:szCs w:val="32"/>
        </w:rPr>
      </w:pPr>
      <w:bookmarkStart w:id="16" w:name="_Toc1782"/>
      <w:bookmarkStart w:id="17" w:name="_Toc198"/>
      <w:r>
        <w:rPr>
          <w:rFonts w:hint="eastAsia" w:ascii="仿宋" w:hAnsi="仿宋" w:eastAsia="仿宋"/>
          <w:b/>
          <w:szCs w:val="32"/>
        </w:rPr>
        <w:t>四、关于机关运行经费支出说明</w:t>
      </w:r>
      <w:bookmarkEnd w:id="16"/>
      <w:bookmarkEnd w:id="17"/>
    </w:p>
    <w:p>
      <w:pPr>
        <w:autoSpaceDE w:val="0"/>
        <w:autoSpaceDN w:val="0"/>
        <w:adjustRightInd w:val="0"/>
        <w:ind w:left="-320" w:leftChars="-100" w:right="-320" w:rightChars="-100" w:firstLine="640" w:firstLineChars="200"/>
        <w:rPr>
          <w:rFonts w:hint="eastAsia" w:ascii="仿宋" w:hAnsi="仿宋" w:eastAsia="仿宋" w:cs="仿宋"/>
          <w:bCs/>
          <w:szCs w:val="32"/>
        </w:rPr>
      </w:pPr>
      <w:r>
        <w:rPr>
          <w:rFonts w:hint="eastAsia" w:ascii="仿宋" w:hAnsi="仿宋" w:eastAsia="仿宋" w:cs="仿宋"/>
          <w:bCs/>
          <w:szCs w:val="32"/>
        </w:rPr>
        <w:t>2021年度</w:t>
      </w:r>
      <w:r>
        <w:rPr>
          <w:rFonts w:hint="eastAsia" w:ascii="仿宋" w:hAnsi="仿宋" w:eastAsia="仿宋" w:cs="仿宋"/>
          <w:szCs w:val="32"/>
          <w:lang w:eastAsia="zh-CN"/>
        </w:rPr>
        <w:t>本单位</w:t>
      </w:r>
      <w:r>
        <w:rPr>
          <w:rFonts w:hint="eastAsia" w:ascii="仿宋" w:hAnsi="仿宋" w:eastAsia="仿宋" w:cs="仿宋"/>
          <w:bCs/>
          <w:szCs w:val="32"/>
        </w:rPr>
        <w:t>机关运行经费支出415.57万元，其中：办公费22.68万元，印刷费4.41万元，水费8.09万元，电费23.02万元，邮电费28.7万元，物业管理费0.11万元，差旅费19.85万元，维修（护）费3.09万元，租赁费1.12万元，公务接待费4.62万元，劳务费45.57万元，工会经费47万元，福利费73.13万元，公务用车运行维护费36.61万元，其他交通费91.19万元，其他商品和服务支出3.04万元，办公设备购置0.56万元，公务用车购置2.79万元。</w:t>
      </w:r>
    </w:p>
    <w:p>
      <w:pPr>
        <w:autoSpaceDE w:val="0"/>
        <w:autoSpaceDN w:val="0"/>
        <w:adjustRightInd w:val="0"/>
        <w:ind w:left="-320" w:leftChars="-100" w:right="-320" w:rightChars="-100" w:firstLine="640" w:firstLineChars="200"/>
        <w:rPr>
          <w:rFonts w:hint="eastAsia" w:ascii="仿宋" w:hAnsi="仿宋" w:eastAsia="仿宋" w:cs="仿宋"/>
          <w:bCs/>
          <w:szCs w:val="32"/>
        </w:rPr>
      </w:pPr>
      <w:r>
        <w:rPr>
          <w:rFonts w:hint="eastAsia" w:ascii="仿宋" w:hAnsi="仿宋" w:eastAsia="仿宋" w:cs="仿宋"/>
          <w:bCs/>
          <w:szCs w:val="32"/>
        </w:rPr>
        <w:t>2021年度机关运行经费支出比年初预算增加35.57万元，增加9.</w:t>
      </w:r>
      <w:r>
        <w:rPr>
          <w:rFonts w:hint="eastAsia" w:ascii="仿宋" w:hAnsi="仿宋" w:eastAsia="仿宋" w:cs="仿宋"/>
          <w:bCs/>
          <w:szCs w:val="32"/>
          <w:lang w:val="en-US" w:eastAsia="zh-CN"/>
        </w:rPr>
        <w:t>4</w:t>
      </w:r>
      <w:r>
        <w:rPr>
          <w:rFonts w:hint="eastAsia" w:ascii="仿宋" w:hAnsi="仿宋" w:eastAsia="仿宋" w:cs="仿宋"/>
          <w:bCs/>
          <w:szCs w:val="32"/>
        </w:rPr>
        <w:t>%。增加的主要原因是本年新招录人员且本年受理案件数理较上年增加34.1%使机关运行经费支出较年初预算增加。</w:t>
      </w:r>
    </w:p>
    <w:p>
      <w:pPr>
        <w:autoSpaceDE w:val="0"/>
        <w:autoSpaceDN w:val="0"/>
        <w:adjustRightInd w:val="0"/>
        <w:ind w:left="-320" w:leftChars="-100" w:right="-320" w:rightChars="-100" w:firstLine="643" w:firstLineChars="200"/>
        <w:outlineLvl w:val="0"/>
        <w:rPr>
          <w:rFonts w:hint="eastAsia" w:ascii="仿宋" w:hAnsi="仿宋" w:eastAsia="仿宋" w:cs="Times New Roman"/>
          <w:b/>
          <w:szCs w:val="32"/>
        </w:rPr>
      </w:pPr>
      <w:bookmarkStart w:id="18" w:name="_Toc143592646"/>
      <w:bookmarkStart w:id="19" w:name="_Toc26185"/>
      <w:bookmarkStart w:id="20" w:name="_Toc25190"/>
      <w:r>
        <w:rPr>
          <w:rFonts w:hint="eastAsia" w:ascii="仿宋" w:hAnsi="仿宋" w:eastAsia="仿宋" w:cs="Times New Roman"/>
          <w:b/>
          <w:szCs w:val="32"/>
        </w:rPr>
        <w:t>五、一般公共预算财政拨款支出决算情况说明</w:t>
      </w:r>
      <w:bookmarkEnd w:id="18"/>
      <w:bookmarkEnd w:id="19"/>
      <w:bookmarkEnd w:id="20"/>
    </w:p>
    <w:p>
      <w:pPr>
        <w:keepNext w:val="0"/>
        <w:keepLines w:val="0"/>
        <w:pageBreakBefore w:val="0"/>
        <w:widowControl w:val="0"/>
        <w:kinsoku/>
        <w:wordWrap/>
        <w:overflowPunct/>
        <w:topLinePunct w:val="0"/>
        <w:autoSpaceDE w:val="0"/>
        <w:autoSpaceDN w:val="0"/>
        <w:bidi w:val="0"/>
        <w:adjustRightInd w:val="0"/>
        <w:ind w:left="-320" w:leftChars="-100" w:right="-320" w:rightChars="-100" w:firstLine="643" w:firstLineChars="200"/>
        <w:textAlignment w:val="auto"/>
        <w:outlineLvl w:val="1"/>
        <w:rPr>
          <w:rFonts w:hint="eastAsia" w:ascii="仿宋" w:hAnsi="仿宋" w:eastAsia="仿宋" w:cs="Times New Roman"/>
          <w:b/>
          <w:szCs w:val="32"/>
          <w:lang w:val="zh-CN"/>
        </w:rPr>
      </w:pPr>
      <w:bookmarkStart w:id="21" w:name="_Toc30860"/>
      <w:bookmarkStart w:id="22" w:name="_Toc25964"/>
      <w:r>
        <w:rPr>
          <w:rFonts w:hint="eastAsia" w:ascii="仿宋" w:hAnsi="仿宋" w:eastAsia="仿宋" w:cs="Times New Roman"/>
          <w:b/>
          <w:szCs w:val="32"/>
          <w:lang w:val="zh-CN"/>
        </w:rPr>
        <w:t>（一）一般公共预算财政拨款支出决算总体情况</w:t>
      </w:r>
      <w:bookmarkEnd w:id="21"/>
      <w:bookmarkEnd w:id="22"/>
    </w:p>
    <w:p>
      <w:pPr>
        <w:keepNext w:val="0"/>
        <w:keepLines w:val="0"/>
        <w:pageBreakBefore w:val="0"/>
        <w:widowControl w:val="0"/>
        <w:kinsoku/>
        <w:wordWrap/>
        <w:overflowPunct/>
        <w:topLinePunct w:val="0"/>
        <w:autoSpaceDE w:val="0"/>
        <w:autoSpaceDN w:val="0"/>
        <w:bidi w:val="0"/>
        <w:adjustRightInd w:val="0"/>
        <w:ind w:left="-320" w:leftChars="-100" w:right="-320" w:rightChars="-100" w:firstLine="640" w:firstLineChars="200"/>
        <w:textAlignment w:val="auto"/>
        <w:rPr>
          <w:rFonts w:hint="eastAsia" w:ascii="仿宋" w:hAnsi="仿宋" w:eastAsia="仿宋" w:cs="仿宋"/>
          <w:bCs/>
          <w:szCs w:val="32"/>
        </w:rPr>
      </w:pPr>
      <w:r>
        <w:rPr>
          <w:rFonts w:hint="eastAsia" w:ascii="仿宋" w:hAnsi="仿宋" w:eastAsia="仿宋" w:cs="仿宋"/>
          <w:bCs/>
          <w:szCs w:val="32"/>
        </w:rPr>
        <w:t>202</w:t>
      </w:r>
      <w:r>
        <w:rPr>
          <w:rFonts w:hint="eastAsia" w:ascii="仿宋" w:hAnsi="仿宋" w:eastAsia="仿宋" w:cs="仿宋"/>
          <w:bCs/>
          <w:szCs w:val="32"/>
          <w:lang w:val="en-US" w:eastAsia="zh-CN"/>
        </w:rPr>
        <w:t>1</w:t>
      </w:r>
      <w:r>
        <w:rPr>
          <w:rFonts w:hint="eastAsia" w:ascii="仿宋" w:hAnsi="仿宋" w:eastAsia="仿宋" w:cs="仿宋"/>
          <w:bCs/>
          <w:szCs w:val="32"/>
        </w:rPr>
        <w:t>年度一般公共预算财政拨款支出</w:t>
      </w:r>
      <w:r>
        <w:rPr>
          <w:rFonts w:hint="eastAsia" w:ascii="仿宋" w:hAnsi="仿宋" w:eastAsia="仿宋" w:cs="仿宋"/>
          <w:bCs/>
          <w:szCs w:val="32"/>
          <w:lang w:val="en-US" w:eastAsia="zh-CN"/>
        </w:rPr>
        <w:t>3,979.43</w:t>
      </w:r>
      <w:r>
        <w:rPr>
          <w:rFonts w:hint="eastAsia" w:ascii="仿宋" w:hAnsi="仿宋" w:eastAsia="仿宋" w:cs="仿宋"/>
          <w:bCs/>
          <w:szCs w:val="32"/>
        </w:rPr>
        <w:t>万元，占本年支出合计的9</w:t>
      </w:r>
      <w:r>
        <w:rPr>
          <w:rFonts w:hint="eastAsia" w:ascii="仿宋" w:hAnsi="仿宋" w:eastAsia="仿宋" w:cs="仿宋"/>
          <w:bCs/>
          <w:szCs w:val="32"/>
          <w:lang w:val="en-US" w:eastAsia="zh-CN"/>
        </w:rPr>
        <w:t>3.7</w:t>
      </w:r>
      <w:r>
        <w:rPr>
          <w:rFonts w:hint="eastAsia" w:ascii="仿宋" w:hAnsi="仿宋" w:eastAsia="仿宋" w:cs="仿宋"/>
          <w:bCs/>
          <w:szCs w:val="32"/>
        </w:rPr>
        <w:t xml:space="preserve"> %。与202</w:t>
      </w:r>
      <w:r>
        <w:rPr>
          <w:rFonts w:hint="eastAsia" w:ascii="仿宋" w:hAnsi="仿宋" w:eastAsia="仿宋" w:cs="仿宋"/>
          <w:bCs/>
          <w:szCs w:val="32"/>
          <w:lang w:val="en-US" w:eastAsia="zh-CN"/>
        </w:rPr>
        <w:t>0</w:t>
      </w:r>
      <w:r>
        <w:rPr>
          <w:rFonts w:hint="eastAsia" w:ascii="仿宋" w:hAnsi="仿宋" w:eastAsia="仿宋" w:cs="仿宋"/>
          <w:bCs/>
          <w:szCs w:val="32"/>
        </w:rPr>
        <w:t>年度相比，一般公共预算财政拨款支出</w:t>
      </w:r>
      <w:r>
        <w:rPr>
          <w:rFonts w:hint="eastAsia" w:ascii="仿宋" w:hAnsi="仿宋" w:eastAsia="仿宋" w:cs="仿宋"/>
          <w:bCs/>
          <w:szCs w:val="32"/>
          <w:lang w:eastAsia="zh-CN"/>
        </w:rPr>
        <w:t>减少</w:t>
      </w:r>
      <w:r>
        <w:rPr>
          <w:rFonts w:hint="eastAsia" w:ascii="仿宋" w:hAnsi="仿宋" w:eastAsia="仿宋" w:cs="仿宋"/>
          <w:bCs/>
          <w:szCs w:val="32"/>
          <w:lang w:val="en-US" w:eastAsia="zh-CN"/>
        </w:rPr>
        <w:t>369.69</w:t>
      </w:r>
      <w:r>
        <w:rPr>
          <w:rFonts w:hint="eastAsia" w:ascii="仿宋" w:hAnsi="仿宋" w:eastAsia="仿宋" w:cs="仿宋"/>
          <w:bCs/>
          <w:szCs w:val="32"/>
        </w:rPr>
        <w:t>万元，</w:t>
      </w:r>
      <w:r>
        <w:rPr>
          <w:rFonts w:hint="eastAsia" w:ascii="仿宋" w:hAnsi="仿宋" w:eastAsia="仿宋" w:cs="仿宋"/>
          <w:bCs/>
          <w:szCs w:val="32"/>
          <w:lang w:eastAsia="zh-CN"/>
        </w:rPr>
        <w:t>减少</w:t>
      </w:r>
      <w:r>
        <w:rPr>
          <w:rFonts w:hint="eastAsia" w:ascii="仿宋" w:hAnsi="仿宋" w:eastAsia="仿宋" w:cs="仿宋"/>
          <w:bCs/>
          <w:szCs w:val="32"/>
          <w:lang w:val="en-US" w:eastAsia="zh-CN"/>
        </w:rPr>
        <w:t>8.5</w:t>
      </w:r>
      <w:r>
        <w:rPr>
          <w:rFonts w:hint="eastAsia" w:ascii="仿宋" w:hAnsi="仿宋" w:eastAsia="仿宋" w:cs="仿宋"/>
          <w:bCs/>
          <w:szCs w:val="32"/>
        </w:rPr>
        <w:t>%。主要原因是本年</w:t>
      </w:r>
      <w:r>
        <w:rPr>
          <w:rFonts w:hint="eastAsia" w:ascii="仿宋" w:hAnsi="仿宋" w:eastAsia="仿宋" w:cs="仿宋"/>
          <w:bCs/>
          <w:szCs w:val="32"/>
          <w:lang w:eastAsia="zh-CN"/>
        </w:rPr>
        <w:t>没有</w:t>
      </w:r>
      <w:r>
        <w:rPr>
          <w:rFonts w:hint="eastAsia" w:ascii="仿宋" w:hAnsi="仿宋" w:eastAsia="仿宋" w:cs="仿宋"/>
          <w:bCs/>
          <w:szCs w:val="32"/>
        </w:rPr>
        <w:t>基本建设类项目经费。</w:t>
      </w:r>
    </w:p>
    <w:p>
      <w:pPr>
        <w:keepNext w:val="0"/>
        <w:keepLines w:val="0"/>
        <w:pageBreakBefore w:val="0"/>
        <w:widowControl w:val="0"/>
        <w:kinsoku/>
        <w:wordWrap/>
        <w:overflowPunct/>
        <w:topLinePunct w:val="0"/>
        <w:bidi w:val="0"/>
        <w:adjustRightInd w:val="0"/>
        <w:snapToGrid w:val="0"/>
        <w:spacing w:line="360" w:lineRule="auto"/>
        <w:ind w:firstLine="643" w:firstLineChars="200"/>
        <w:textAlignment w:val="auto"/>
        <w:outlineLvl w:val="1"/>
        <w:rPr>
          <w:rFonts w:hint="eastAsia" w:ascii="仿宋" w:hAnsi="仿宋" w:eastAsia="仿宋" w:cs="楷体_GB2312"/>
          <w:b/>
          <w:bCs/>
          <w:kern w:val="44"/>
          <w:szCs w:val="32"/>
          <w:highlight w:val="none"/>
        </w:rPr>
      </w:pPr>
      <w:bookmarkStart w:id="23" w:name="_Toc24539"/>
      <w:bookmarkStart w:id="24" w:name="_Toc9148"/>
      <w:r>
        <w:rPr>
          <w:rFonts w:hint="eastAsia" w:ascii="仿宋" w:hAnsi="仿宋" w:eastAsia="仿宋" w:cs="楷体_GB2312"/>
          <w:b/>
          <w:bCs/>
          <w:kern w:val="44"/>
          <w:szCs w:val="32"/>
          <w:highlight w:val="none"/>
        </w:rPr>
        <w:t>（二）一般公共预算财政拨款支出决算结构情况</w:t>
      </w:r>
      <w:bookmarkEnd w:id="23"/>
      <w:bookmarkEnd w:id="24"/>
    </w:p>
    <w:p>
      <w:pPr>
        <w:keepNext w:val="0"/>
        <w:keepLines w:val="0"/>
        <w:pageBreakBefore w:val="0"/>
        <w:widowControl w:val="0"/>
        <w:kinsoku/>
        <w:wordWrap/>
        <w:overflowPunct/>
        <w:topLinePunct w:val="0"/>
        <w:autoSpaceDE w:val="0"/>
        <w:autoSpaceDN w:val="0"/>
        <w:bidi w:val="0"/>
        <w:adjustRightInd w:val="0"/>
        <w:ind w:left="-320" w:leftChars="-100" w:right="-320" w:rightChars="-100" w:firstLine="640" w:firstLineChars="200"/>
        <w:textAlignment w:val="auto"/>
        <w:rPr>
          <w:rFonts w:hint="eastAsia" w:ascii="仿宋" w:hAnsi="仿宋" w:eastAsia="仿宋" w:cs="仿宋"/>
          <w:bCs/>
          <w:szCs w:val="32"/>
        </w:rPr>
      </w:pPr>
      <w:r>
        <w:rPr>
          <w:rFonts w:hint="eastAsia" w:ascii="仿宋" w:hAnsi="仿宋" w:eastAsia="仿宋" w:cs="仿宋"/>
          <w:bCs/>
          <w:szCs w:val="32"/>
        </w:rPr>
        <w:t>202</w:t>
      </w:r>
      <w:r>
        <w:rPr>
          <w:rFonts w:hint="eastAsia" w:ascii="仿宋" w:hAnsi="仿宋" w:eastAsia="仿宋" w:cs="仿宋"/>
          <w:bCs/>
          <w:szCs w:val="32"/>
          <w:lang w:val="en-US" w:eastAsia="zh-CN"/>
        </w:rPr>
        <w:t>1</w:t>
      </w:r>
      <w:r>
        <w:rPr>
          <w:rFonts w:hint="eastAsia" w:ascii="仿宋" w:hAnsi="仿宋" w:eastAsia="仿宋" w:cs="仿宋"/>
          <w:bCs/>
          <w:szCs w:val="32"/>
        </w:rPr>
        <w:t>年度一般公共预算财政拨款支出</w:t>
      </w:r>
      <w:r>
        <w:rPr>
          <w:rFonts w:hint="eastAsia" w:ascii="仿宋" w:hAnsi="仿宋" w:eastAsia="仿宋" w:cs="仿宋"/>
          <w:bCs/>
          <w:szCs w:val="32"/>
          <w:lang w:val="en-US" w:eastAsia="zh-CN"/>
        </w:rPr>
        <w:t>3,979.43</w:t>
      </w:r>
      <w:r>
        <w:rPr>
          <w:rFonts w:hint="eastAsia" w:ascii="仿宋" w:hAnsi="仿宋" w:eastAsia="仿宋" w:cs="仿宋"/>
          <w:bCs/>
          <w:szCs w:val="32"/>
        </w:rPr>
        <w:t>万元，主要用于以下方面：</w:t>
      </w:r>
    </w:p>
    <w:p>
      <w:pPr>
        <w:keepNext w:val="0"/>
        <w:keepLines w:val="0"/>
        <w:pageBreakBefore w:val="0"/>
        <w:widowControl w:val="0"/>
        <w:kinsoku/>
        <w:wordWrap/>
        <w:overflowPunct/>
        <w:topLinePunct w:val="0"/>
        <w:autoSpaceDE w:val="0"/>
        <w:autoSpaceDN w:val="0"/>
        <w:bidi w:val="0"/>
        <w:adjustRightInd w:val="0"/>
        <w:ind w:left="-320" w:leftChars="-100" w:right="-320" w:rightChars="-100" w:firstLine="640" w:firstLineChars="200"/>
        <w:textAlignment w:val="auto"/>
        <w:rPr>
          <w:rFonts w:hint="eastAsia" w:ascii="仿宋" w:hAnsi="仿宋" w:eastAsia="仿宋" w:cs="仿宋"/>
          <w:bCs/>
          <w:szCs w:val="32"/>
        </w:rPr>
      </w:pPr>
      <w:r>
        <w:rPr>
          <w:rFonts w:hint="eastAsia" w:ascii="仿宋" w:hAnsi="仿宋" w:eastAsia="仿宋" w:cs="仿宋"/>
          <w:bCs/>
          <w:szCs w:val="32"/>
        </w:rPr>
        <w:t>1.公共安全（类）支出</w:t>
      </w:r>
      <w:r>
        <w:rPr>
          <w:rFonts w:hint="eastAsia" w:ascii="仿宋" w:hAnsi="仿宋" w:eastAsia="仿宋" w:cs="仿宋"/>
          <w:bCs/>
          <w:szCs w:val="32"/>
          <w:lang w:val="en-US" w:eastAsia="zh-CN"/>
        </w:rPr>
        <w:t>3,768.43</w:t>
      </w:r>
      <w:r>
        <w:rPr>
          <w:rFonts w:hint="eastAsia" w:ascii="仿宋" w:hAnsi="仿宋" w:eastAsia="仿宋" w:cs="仿宋"/>
          <w:bCs/>
          <w:szCs w:val="32"/>
        </w:rPr>
        <w:t>万元，占9</w:t>
      </w:r>
      <w:r>
        <w:rPr>
          <w:rFonts w:hint="eastAsia" w:ascii="仿宋" w:hAnsi="仿宋" w:eastAsia="仿宋" w:cs="仿宋"/>
          <w:bCs/>
          <w:szCs w:val="32"/>
          <w:lang w:val="en-US" w:eastAsia="zh-CN"/>
        </w:rPr>
        <w:t>4.7</w:t>
      </w:r>
      <w:r>
        <w:rPr>
          <w:rFonts w:hint="eastAsia" w:ascii="仿宋" w:hAnsi="仿宋" w:eastAsia="仿宋" w:cs="仿宋"/>
          <w:bCs/>
          <w:szCs w:val="32"/>
        </w:rPr>
        <w:t>%。主要是用于行政运行、一般行政管理事务、案件审判</w:t>
      </w:r>
      <w:r>
        <w:rPr>
          <w:rFonts w:hint="eastAsia" w:ascii="仿宋" w:hAnsi="仿宋" w:eastAsia="仿宋" w:cs="仿宋"/>
          <w:bCs/>
          <w:szCs w:val="32"/>
          <w:lang w:eastAsia="zh-CN"/>
        </w:rPr>
        <w:t>、“两庭”建设</w:t>
      </w:r>
      <w:r>
        <w:rPr>
          <w:rFonts w:hint="eastAsia" w:ascii="仿宋" w:hAnsi="仿宋" w:eastAsia="仿宋" w:cs="仿宋"/>
          <w:bCs/>
          <w:szCs w:val="32"/>
        </w:rPr>
        <w:t>。</w:t>
      </w:r>
    </w:p>
    <w:p>
      <w:pPr>
        <w:keepNext w:val="0"/>
        <w:keepLines w:val="0"/>
        <w:pageBreakBefore w:val="0"/>
        <w:widowControl w:val="0"/>
        <w:kinsoku/>
        <w:wordWrap/>
        <w:overflowPunct/>
        <w:topLinePunct w:val="0"/>
        <w:autoSpaceDE w:val="0"/>
        <w:autoSpaceDN w:val="0"/>
        <w:bidi w:val="0"/>
        <w:adjustRightInd w:val="0"/>
        <w:ind w:left="-320" w:leftChars="-100" w:right="-320" w:rightChars="-100" w:firstLine="640" w:firstLineChars="200"/>
        <w:textAlignment w:val="auto"/>
        <w:rPr>
          <w:rFonts w:hint="eastAsia" w:ascii="仿宋" w:hAnsi="仿宋" w:eastAsia="仿宋" w:cs="仿宋"/>
          <w:bCs/>
          <w:szCs w:val="32"/>
        </w:rPr>
      </w:pPr>
      <w:r>
        <w:rPr>
          <w:rFonts w:hint="eastAsia" w:ascii="仿宋" w:hAnsi="仿宋" w:eastAsia="仿宋" w:cs="仿宋"/>
          <w:bCs/>
          <w:szCs w:val="32"/>
        </w:rPr>
        <w:t>2.社会保障和就业（类）支出</w:t>
      </w:r>
      <w:r>
        <w:rPr>
          <w:rFonts w:hint="eastAsia" w:ascii="仿宋" w:hAnsi="仿宋" w:eastAsia="仿宋" w:cs="仿宋"/>
          <w:bCs/>
          <w:szCs w:val="32"/>
          <w:lang w:val="en-US" w:eastAsia="zh-CN"/>
        </w:rPr>
        <w:t>211</w:t>
      </w:r>
      <w:r>
        <w:rPr>
          <w:rFonts w:hint="eastAsia" w:ascii="仿宋" w:hAnsi="仿宋" w:eastAsia="仿宋" w:cs="仿宋"/>
          <w:bCs/>
          <w:szCs w:val="32"/>
        </w:rPr>
        <w:t>万元，占</w:t>
      </w:r>
      <w:r>
        <w:rPr>
          <w:rFonts w:hint="eastAsia" w:ascii="仿宋" w:hAnsi="仿宋" w:eastAsia="仿宋" w:cs="仿宋"/>
          <w:bCs/>
          <w:szCs w:val="32"/>
          <w:lang w:val="en-US" w:eastAsia="zh-CN"/>
        </w:rPr>
        <w:t>5.3</w:t>
      </w:r>
      <w:r>
        <w:rPr>
          <w:rFonts w:hint="eastAsia" w:ascii="仿宋" w:hAnsi="仿宋" w:eastAsia="仿宋" w:cs="仿宋"/>
          <w:bCs/>
          <w:szCs w:val="32"/>
        </w:rPr>
        <w:t>%。主要是用于机关事业单位基本养老保险缴费支出、机关事业单位事业年金缴费支出。</w:t>
      </w:r>
    </w:p>
    <w:p>
      <w:pPr>
        <w:keepNext w:val="0"/>
        <w:keepLines w:val="0"/>
        <w:pageBreakBefore w:val="0"/>
        <w:widowControl w:val="0"/>
        <w:kinsoku/>
        <w:wordWrap/>
        <w:overflowPunct/>
        <w:topLinePunct w:val="0"/>
        <w:bidi w:val="0"/>
        <w:adjustRightInd w:val="0"/>
        <w:snapToGrid w:val="0"/>
        <w:spacing w:line="360" w:lineRule="auto"/>
        <w:ind w:firstLine="643" w:firstLineChars="200"/>
        <w:textAlignment w:val="auto"/>
        <w:outlineLvl w:val="1"/>
        <w:rPr>
          <w:rFonts w:hint="eastAsia" w:ascii="仿宋" w:hAnsi="仿宋" w:eastAsia="仿宋" w:cs="楷体_GB2312"/>
          <w:b/>
          <w:bCs/>
          <w:kern w:val="44"/>
          <w:szCs w:val="32"/>
          <w:highlight w:val="none"/>
        </w:rPr>
      </w:pPr>
      <w:bookmarkStart w:id="25" w:name="_Toc13434"/>
      <w:bookmarkStart w:id="26" w:name="_Toc25650"/>
      <w:r>
        <w:rPr>
          <w:rFonts w:hint="eastAsia" w:ascii="仿宋" w:hAnsi="仿宋" w:eastAsia="仿宋" w:cs="楷体_GB2312"/>
          <w:b/>
          <w:bCs/>
          <w:kern w:val="44"/>
          <w:szCs w:val="32"/>
          <w:highlight w:val="none"/>
        </w:rPr>
        <w:t>（三）一般公共预算财政拨款支出决算具体情况</w:t>
      </w:r>
      <w:bookmarkEnd w:id="25"/>
      <w:bookmarkEnd w:id="26"/>
    </w:p>
    <w:p>
      <w:pPr>
        <w:keepNext w:val="0"/>
        <w:keepLines w:val="0"/>
        <w:pageBreakBefore w:val="0"/>
        <w:widowControl w:val="0"/>
        <w:kinsoku/>
        <w:wordWrap/>
        <w:overflowPunct/>
        <w:topLinePunct w:val="0"/>
        <w:autoSpaceDE w:val="0"/>
        <w:autoSpaceDN w:val="0"/>
        <w:bidi w:val="0"/>
        <w:adjustRightInd w:val="0"/>
        <w:ind w:left="-320" w:leftChars="-100" w:right="-320" w:rightChars="-100" w:firstLine="640" w:firstLineChars="200"/>
        <w:textAlignment w:val="auto"/>
        <w:rPr>
          <w:rFonts w:hint="eastAsia" w:ascii="仿宋" w:hAnsi="仿宋" w:eastAsia="仿宋" w:cs="仿宋"/>
          <w:bCs/>
          <w:szCs w:val="32"/>
        </w:rPr>
      </w:pPr>
      <w:r>
        <w:rPr>
          <w:rFonts w:hint="eastAsia" w:ascii="仿宋" w:hAnsi="仿宋" w:eastAsia="仿宋" w:cs="仿宋"/>
          <w:bCs/>
          <w:szCs w:val="32"/>
        </w:rPr>
        <w:t>202</w:t>
      </w:r>
      <w:r>
        <w:rPr>
          <w:rFonts w:hint="eastAsia" w:ascii="仿宋" w:hAnsi="仿宋" w:eastAsia="仿宋" w:cs="仿宋"/>
          <w:bCs/>
          <w:szCs w:val="32"/>
          <w:lang w:val="en-US" w:eastAsia="zh-CN"/>
        </w:rPr>
        <w:t>1</w:t>
      </w:r>
      <w:r>
        <w:rPr>
          <w:rFonts w:hint="eastAsia" w:ascii="仿宋" w:hAnsi="仿宋" w:eastAsia="仿宋" w:cs="仿宋"/>
          <w:bCs/>
          <w:szCs w:val="32"/>
        </w:rPr>
        <w:t>年度一般公共预算财政拨款支出年初预算为</w:t>
      </w:r>
      <w:r>
        <w:rPr>
          <w:rFonts w:hint="eastAsia" w:ascii="仿宋" w:hAnsi="仿宋" w:eastAsia="仿宋" w:cs="仿宋"/>
          <w:bCs/>
          <w:szCs w:val="32"/>
          <w:lang w:val="en-US" w:eastAsia="zh-CN"/>
        </w:rPr>
        <w:t>4,040.27</w:t>
      </w:r>
      <w:r>
        <w:rPr>
          <w:rFonts w:hint="eastAsia" w:ascii="仿宋" w:hAnsi="仿宋" w:eastAsia="仿宋" w:cs="仿宋"/>
          <w:bCs/>
          <w:szCs w:val="32"/>
        </w:rPr>
        <w:t>万元，支出决算为</w:t>
      </w:r>
      <w:r>
        <w:rPr>
          <w:rFonts w:hint="eastAsia" w:ascii="仿宋" w:hAnsi="仿宋" w:eastAsia="仿宋" w:cs="仿宋"/>
          <w:bCs/>
          <w:szCs w:val="32"/>
          <w:lang w:val="en-US" w:eastAsia="zh-CN"/>
        </w:rPr>
        <w:t>3,979.43</w:t>
      </w:r>
      <w:r>
        <w:rPr>
          <w:rFonts w:hint="eastAsia" w:ascii="仿宋" w:hAnsi="仿宋" w:eastAsia="仿宋" w:cs="仿宋"/>
          <w:bCs/>
          <w:szCs w:val="32"/>
        </w:rPr>
        <w:t>万元，完成年初预算的</w:t>
      </w:r>
      <w:r>
        <w:rPr>
          <w:rFonts w:hint="eastAsia" w:ascii="仿宋" w:hAnsi="仿宋" w:eastAsia="仿宋" w:cs="仿宋"/>
          <w:bCs/>
          <w:szCs w:val="32"/>
          <w:lang w:val="en-US" w:eastAsia="zh-CN"/>
        </w:rPr>
        <w:t>98.5</w:t>
      </w:r>
      <w:r>
        <w:rPr>
          <w:rFonts w:hint="eastAsia" w:ascii="仿宋" w:hAnsi="仿宋" w:eastAsia="仿宋" w:cs="仿宋"/>
          <w:bCs/>
          <w:szCs w:val="32"/>
        </w:rPr>
        <w:t>%。其中：</w:t>
      </w:r>
    </w:p>
    <w:p>
      <w:pPr>
        <w:keepNext w:val="0"/>
        <w:keepLines w:val="0"/>
        <w:pageBreakBefore w:val="0"/>
        <w:widowControl w:val="0"/>
        <w:kinsoku/>
        <w:wordWrap/>
        <w:overflowPunct/>
        <w:topLinePunct w:val="0"/>
        <w:autoSpaceDE w:val="0"/>
        <w:autoSpaceDN w:val="0"/>
        <w:bidi w:val="0"/>
        <w:adjustRightInd w:val="0"/>
        <w:ind w:left="-320" w:leftChars="-100" w:right="-320" w:rightChars="-100" w:firstLine="640" w:firstLineChars="200"/>
        <w:textAlignment w:val="auto"/>
        <w:rPr>
          <w:rFonts w:hint="eastAsia" w:ascii="仿宋" w:hAnsi="仿宋" w:eastAsia="仿宋" w:cs="仿宋"/>
          <w:bCs/>
          <w:szCs w:val="32"/>
          <w:lang w:val="en-US" w:eastAsia="zh-CN"/>
        </w:rPr>
      </w:pPr>
      <w:r>
        <w:rPr>
          <w:rFonts w:hint="eastAsia" w:ascii="仿宋" w:hAnsi="仿宋" w:eastAsia="仿宋" w:cs="仿宋"/>
          <w:bCs/>
          <w:szCs w:val="32"/>
        </w:rPr>
        <w:t xml:space="preserve"> 1.公共安全支出(类)法院(款)行政运行(项)。年初预算为</w:t>
      </w:r>
      <w:r>
        <w:rPr>
          <w:rFonts w:hint="eastAsia" w:ascii="仿宋" w:hAnsi="仿宋" w:eastAsia="仿宋" w:cs="仿宋"/>
          <w:bCs/>
          <w:szCs w:val="32"/>
          <w:lang w:val="en-US" w:eastAsia="zh-CN"/>
        </w:rPr>
        <w:t>3,064</w:t>
      </w:r>
      <w:r>
        <w:rPr>
          <w:rFonts w:hint="eastAsia" w:ascii="仿宋" w:hAnsi="仿宋" w:eastAsia="仿宋" w:cs="仿宋"/>
          <w:bCs/>
          <w:szCs w:val="32"/>
        </w:rPr>
        <w:t>万元，支出决算为</w:t>
      </w:r>
      <w:r>
        <w:rPr>
          <w:rFonts w:hint="eastAsia" w:ascii="仿宋" w:hAnsi="仿宋" w:eastAsia="仿宋" w:cs="仿宋"/>
          <w:bCs/>
          <w:szCs w:val="32"/>
          <w:lang w:val="en-US" w:eastAsia="zh-CN"/>
        </w:rPr>
        <w:t>3,080.47</w:t>
      </w:r>
      <w:r>
        <w:rPr>
          <w:rFonts w:hint="eastAsia" w:ascii="仿宋" w:hAnsi="仿宋" w:eastAsia="仿宋" w:cs="仿宋"/>
          <w:bCs/>
          <w:szCs w:val="32"/>
        </w:rPr>
        <w:t>万元，完成年初预算的1</w:t>
      </w:r>
      <w:r>
        <w:rPr>
          <w:rFonts w:hint="eastAsia" w:ascii="仿宋" w:hAnsi="仿宋" w:eastAsia="仿宋" w:cs="仿宋"/>
          <w:bCs/>
          <w:szCs w:val="32"/>
          <w:lang w:val="en-US" w:eastAsia="zh-CN"/>
        </w:rPr>
        <w:t>00.5</w:t>
      </w:r>
      <w:r>
        <w:rPr>
          <w:rFonts w:hint="eastAsia" w:ascii="仿宋" w:hAnsi="仿宋" w:eastAsia="仿宋" w:cs="仿宋"/>
          <w:bCs/>
          <w:szCs w:val="32"/>
        </w:rPr>
        <w:t>%，支出决算数大于年初预算数的主要原因：省财政厅年中追加下达法院</w:t>
      </w:r>
      <w:r>
        <w:rPr>
          <w:rFonts w:hint="eastAsia" w:ascii="仿宋" w:hAnsi="仿宋" w:eastAsia="仿宋" w:cs="仿宋"/>
          <w:bCs/>
          <w:szCs w:val="32"/>
          <w:lang w:val="en-US" w:eastAsia="zh-CN"/>
        </w:rPr>
        <w:t>2019</w:t>
      </w:r>
      <w:r>
        <w:rPr>
          <w:rFonts w:hint="eastAsia" w:ascii="仿宋" w:hAnsi="仿宋" w:eastAsia="仿宋" w:cs="仿宋"/>
          <w:bCs/>
          <w:szCs w:val="32"/>
        </w:rPr>
        <w:t>年度绩效考核奖金经费</w:t>
      </w:r>
      <w:r>
        <w:rPr>
          <w:rFonts w:hint="eastAsia" w:ascii="仿宋" w:hAnsi="仿宋" w:eastAsia="仿宋" w:cs="仿宋"/>
          <w:bCs/>
          <w:szCs w:val="32"/>
          <w:lang w:eastAsia="zh-CN"/>
        </w:rPr>
        <w:t>。</w:t>
      </w:r>
    </w:p>
    <w:p>
      <w:pPr>
        <w:keepNext w:val="0"/>
        <w:keepLines w:val="0"/>
        <w:pageBreakBefore w:val="0"/>
        <w:widowControl w:val="0"/>
        <w:kinsoku/>
        <w:wordWrap/>
        <w:overflowPunct/>
        <w:topLinePunct w:val="0"/>
        <w:autoSpaceDE w:val="0"/>
        <w:autoSpaceDN w:val="0"/>
        <w:bidi w:val="0"/>
        <w:adjustRightInd w:val="0"/>
        <w:ind w:left="-320" w:leftChars="-100" w:right="-320" w:rightChars="-100" w:firstLine="640" w:firstLineChars="200"/>
        <w:textAlignment w:val="auto"/>
        <w:rPr>
          <w:rFonts w:hint="eastAsia" w:ascii="仿宋" w:hAnsi="仿宋" w:eastAsia="仿宋" w:cs="仿宋"/>
          <w:bCs/>
          <w:szCs w:val="32"/>
        </w:rPr>
      </w:pPr>
      <w:r>
        <w:rPr>
          <w:rFonts w:hint="eastAsia" w:ascii="仿宋" w:hAnsi="仿宋" w:eastAsia="仿宋" w:cs="仿宋"/>
          <w:bCs/>
          <w:szCs w:val="32"/>
        </w:rPr>
        <w:t>2.公共安全支出(类)法院(款)一般行政管理事务(项)。年初预算为</w:t>
      </w:r>
      <w:r>
        <w:rPr>
          <w:rFonts w:hint="eastAsia" w:ascii="仿宋" w:hAnsi="仿宋" w:eastAsia="仿宋" w:cs="仿宋"/>
          <w:bCs/>
          <w:szCs w:val="32"/>
          <w:lang w:val="en-US" w:eastAsia="zh-CN"/>
        </w:rPr>
        <w:t>308.27</w:t>
      </w:r>
      <w:r>
        <w:rPr>
          <w:rFonts w:hint="eastAsia" w:ascii="仿宋" w:hAnsi="仿宋" w:eastAsia="仿宋" w:cs="仿宋"/>
          <w:bCs/>
          <w:szCs w:val="32"/>
        </w:rPr>
        <w:t>万元，支出决算为</w:t>
      </w:r>
      <w:r>
        <w:rPr>
          <w:rFonts w:hint="eastAsia" w:ascii="仿宋" w:hAnsi="仿宋" w:eastAsia="仿宋" w:cs="仿宋"/>
          <w:bCs/>
          <w:szCs w:val="32"/>
          <w:lang w:val="en-US" w:eastAsia="zh-CN"/>
        </w:rPr>
        <w:t>308.27</w:t>
      </w:r>
      <w:r>
        <w:rPr>
          <w:rFonts w:hint="eastAsia" w:ascii="仿宋" w:hAnsi="仿宋" w:eastAsia="仿宋" w:cs="仿宋"/>
          <w:bCs/>
          <w:szCs w:val="32"/>
        </w:rPr>
        <w:t>万元，完成年初预算的1</w:t>
      </w:r>
      <w:r>
        <w:rPr>
          <w:rFonts w:hint="eastAsia" w:ascii="仿宋" w:hAnsi="仿宋" w:eastAsia="仿宋" w:cs="仿宋"/>
          <w:bCs/>
          <w:szCs w:val="32"/>
          <w:lang w:val="en-US" w:eastAsia="zh-CN"/>
        </w:rPr>
        <w:t>00</w:t>
      </w:r>
      <w:r>
        <w:rPr>
          <w:rFonts w:hint="eastAsia" w:ascii="仿宋" w:hAnsi="仿宋" w:eastAsia="仿宋" w:cs="仿宋"/>
          <w:bCs/>
          <w:szCs w:val="32"/>
        </w:rPr>
        <w:t>%。</w:t>
      </w:r>
    </w:p>
    <w:p>
      <w:pPr>
        <w:keepNext w:val="0"/>
        <w:keepLines w:val="0"/>
        <w:pageBreakBefore w:val="0"/>
        <w:widowControl w:val="0"/>
        <w:kinsoku/>
        <w:wordWrap/>
        <w:overflowPunct/>
        <w:topLinePunct w:val="0"/>
        <w:autoSpaceDE w:val="0"/>
        <w:autoSpaceDN w:val="0"/>
        <w:bidi w:val="0"/>
        <w:adjustRightInd w:val="0"/>
        <w:ind w:left="-320" w:leftChars="-100" w:right="-320" w:rightChars="-100" w:firstLine="640" w:firstLineChars="200"/>
        <w:textAlignment w:val="auto"/>
        <w:rPr>
          <w:rFonts w:hint="eastAsia" w:ascii="仿宋" w:hAnsi="仿宋" w:eastAsia="仿宋" w:cs="仿宋"/>
          <w:bCs/>
          <w:szCs w:val="32"/>
        </w:rPr>
      </w:pPr>
      <w:r>
        <w:rPr>
          <w:rFonts w:hint="eastAsia" w:ascii="仿宋" w:hAnsi="仿宋" w:eastAsia="仿宋" w:cs="仿宋"/>
          <w:bCs/>
          <w:szCs w:val="32"/>
        </w:rPr>
        <w:t>3.公共安全支出(类)法院(款)案件审判(项)。年初预算为</w:t>
      </w:r>
      <w:r>
        <w:rPr>
          <w:rFonts w:hint="eastAsia" w:ascii="仿宋" w:hAnsi="仿宋" w:eastAsia="仿宋" w:cs="仿宋"/>
          <w:bCs/>
          <w:szCs w:val="32"/>
          <w:lang w:val="en-US" w:eastAsia="zh-CN"/>
        </w:rPr>
        <w:t>448</w:t>
      </w:r>
      <w:r>
        <w:rPr>
          <w:rFonts w:hint="eastAsia" w:ascii="仿宋" w:hAnsi="仿宋" w:eastAsia="仿宋" w:cs="仿宋"/>
          <w:bCs/>
          <w:szCs w:val="32"/>
        </w:rPr>
        <w:t>万元，支出决算为</w:t>
      </w:r>
      <w:r>
        <w:rPr>
          <w:rFonts w:hint="eastAsia" w:ascii="仿宋" w:hAnsi="仿宋" w:eastAsia="仿宋" w:cs="仿宋"/>
          <w:bCs/>
          <w:szCs w:val="32"/>
          <w:lang w:val="en-US" w:eastAsia="zh-CN"/>
        </w:rPr>
        <w:t>379.69</w:t>
      </w:r>
      <w:r>
        <w:rPr>
          <w:rFonts w:hint="eastAsia" w:ascii="仿宋" w:hAnsi="仿宋" w:eastAsia="仿宋" w:cs="仿宋"/>
          <w:bCs/>
          <w:szCs w:val="32"/>
        </w:rPr>
        <w:t>万元，完成年初预算的</w:t>
      </w:r>
      <w:r>
        <w:rPr>
          <w:rFonts w:hint="eastAsia" w:ascii="仿宋" w:hAnsi="仿宋" w:eastAsia="仿宋" w:cs="仿宋"/>
          <w:bCs/>
          <w:szCs w:val="32"/>
          <w:lang w:val="en-US" w:eastAsia="zh-CN"/>
        </w:rPr>
        <w:t>84.8</w:t>
      </w:r>
      <w:r>
        <w:rPr>
          <w:rFonts w:hint="eastAsia" w:ascii="仿宋" w:hAnsi="仿宋" w:eastAsia="仿宋" w:cs="仿宋"/>
          <w:bCs/>
          <w:szCs w:val="32"/>
        </w:rPr>
        <w:t>%</w:t>
      </w:r>
      <w:r>
        <w:rPr>
          <w:rFonts w:hint="eastAsia" w:ascii="仿宋" w:hAnsi="仿宋" w:eastAsia="仿宋" w:cs="仿宋"/>
          <w:bCs/>
          <w:szCs w:val="32"/>
          <w:lang w:eastAsia="zh-CN"/>
        </w:rPr>
        <w:t>，主要原因是</w:t>
      </w:r>
      <w:r>
        <w:rPr>
          <w:rFonts w:hint="eastAsia" w:ascii="仿宋" w:hAnsi="仿宋" w:eastAsia="仿宋" w:cs="仿宋"/>
          <w:bCs/>
          <w:szCs w:val="32"/>
        </w:rPr>
        <w:t>是根据省财政厅工作要求压缩了一般性支出。</w:t>
      </w:r>
    </w:p>
    <w:p>
      <w:pPr>
        <w:keepNext w:val="0"/>
        <w:keepLines w:val="0"/>
        <w:pageBreakBefore w:val="0"/>
        <w:widowControl w:val="0"/>
        <w:kinsoku/>
        <w:wordWrap/>
        <w:overflowPunct/>
        <w:topLinePunct w:val="0"/>
        <w:autoSpaceDE w:val="0"/>
        <w:autoSpaceDN w:val="0"/>
        <w:bidi w:val="0"/>
        <w:adjustRightInd w:val="0"/>
        <w:ind w:left="-320" w:leftChars="-100" w:right="-320" w:rightChars="-100" w:firstLine="640" w:firstLineChars="200"/>
        <w:textAlignment w:val="auto"/>
        <w:rPr>
          <w:rFonts w:hint="default" w:ascii="仿宋" w:hAnsi="仿宋" w:eastAsia="仿宋" w:cs="仿宋"/>
          <w:bCs/>
          <w:szCs w:val="32"/>
          <w:lang w:val="en-US" w:eastAsia="zh-CN"/>
        </w:rPr>
      </w:pPr>
      <w:r>
        <w:rPr>
          <w:rFonts w:hint="eastAsia" w:ascii="仿宋" w:hAnsi="仿宋" w:eastAsia="仿宋" w:cs="仿宋"/>
          <w:bCs/>
          <w:szCs w:val="32"/>
          <w:lang w:val="en-US" w:eastAsia="zh-CN"/>
        </w:rPr>
        <w:t>4</w:t>
      </w:r>
      <w:r>
        <w:rPr>
          <w:rFonts w:hint="eastAsia" w:ascii="仿宋" w:hAnsi="仿宋" w:eastAsia="仿宋" w:cs="仿宋"/>
          <w:bCs/>
          <w:szCs w:val="32"/>
        </w:rPr>
        <w:t>.社会保障和就业支出(类)行政事业单位养老支出(款)机关事业单位基本养老保险缴费支出(项)。年初预算为</w:t>
      </w:r>
      <w:r>
        <w:rPr>
          <w:rFonts w:hint="eastAsia" w:ascii="仿宋" w:hAnsi="仿宋" w:eastAsia="仿宋" w:cs="仿宋"/>
          <w:bCs/>
          <w:szCs w:val="32"/>
          <w:lang w:val="en-US" w:eastAsia="zh-CN"/>
        </w:rPr>
        <w:t>200</w:t>
      </w:r>
      <w:r>
        <w:rPr>
          <w:rFonts w:hint="eastAsia" w:ascii="仿宋" w:hAnsi="仿宋" w:eastAsia="仿宋" w:cs="仿宋"/>
          <w:bCs/>
          <w:szCs w:val="32"/>
        </w:rPr>
        <w:t>万元，支出决算为</w:t>
      </w:r>
      <w:r>
        <w:rPr>
          <w:rFonts w:hint="eastAsia" w:ascii="仿宋" w:hAnsi="仿宋" w:eastAsia="仿宋" w:cs="仿宋"/>
          <w:bCs/>
          <w:szCs w:val="32"/>
          <w:lang w:val="en-US" w:eastAsia="zh-CN"/>
        </w:rPr>
        <w:t>191</w:t>
      </w:r>
      <w:r>
        <w:rPr>
          <w:rFonts w:hint="eastAsia" w:ascii="仿宋" w:hAnsi="仿宋" w:eastAsia="仿宋" w:cs="仿宋"/>
          <w:bCs/>
          <w:szCs w:val="32"/>
        </w:rPr>
        <w:t>万元，完成年初预算的</w:t>
      </w:r>
      <w:r>
        <w:rPr>
          <w:rFonts w:hint="eastAsia" w:ascii="仿宋" w:hAnsi="仿宋" w:eastAsia="仿宋" w:cs="仿宋"/>
          <w:bCs/>
          <w:szCs w:val="32"/>
          <w:lang w:val="en-US" w:eastAsia="zh-CN"/>
        </w:rPr>
        <w:t>95.5</w:t>
      </w:r>
      <w:r>
        <w:rPr>
          <w:rFonts w:hint="eastAsia" w:ascii="仿宋" w:hAnsi="仿宋" w:eastAsia="仿宋" w:cs="仿宋"/>
          <w:bCs/>
          <w:szCs w:val="32"/>
        </w:rPr>
        <w:t>%。</w:t>
      </w:r>
      <w:r>
        <w:rPr>
          <w:rFonts w:hint="eastAsia" w:ascii="仿宋" w:hAnsi="仿宋" w:eastAsia="仿宋" w:cs="仿宋"/>
          <w:bCs/>
          <w:szCs w:val="32"/>
          <w:lang w:eastAsia="zh-CN"/>
        </w:rPr>
        <w:t>主要原因是年中根据支出需求调减了</w:t>
      </w:r>
      <w:r>
        <w:rPr>
          <w:rFonts w:hint="eastAsia" w:ascii="仿宋" w:hAnsi="仿宋" w:eastAsia="仿宋" w:cs="仿宋"/>
          <w:bCs/>
          <w:szCs w:val="32"/>
        </w:rPr>
        <w:t>机关事业单位基本养老保险缴费支出</w:t>
      </w:r>
      <w:r>
        <w:rPr>
          <w:rFonts w:hint="eastAsia" w:ascii="仿宋" w:hAnsi="仿宋" w:eastAsia="仿宋" w:cs="仿宋"/>
          <w:bCs/>
          <w:szCs w:val="32"/>
          <w:lang w:val="en-US" w:eastAsia="zh-CN"/>
        </w:rPr>
        <w:t>。</w:t>
      </w:r>
    </w:p>
    <w:p>
      <w:pPr>
        <w:keepNext w:val="0"/>
        <w:keepLines w:val="0"/>
        <w:pageBreakBefore w:val="0"/>
        <w:widowControl w:val="0"/>
        <w:kinsoku/>
        <w:wordWrap/>
        <w:overflowPunct/>
        <w:topLinePunct w:val="0"/>
        <w:autoSpaceDE w:val="0"/>
        <w:autoSpaceDN w:val="0"/>
        <w:bidi w:val="0"/>
        <w:adjustRightInd w:val="0"/>
        <w:ind w:left="-320" w:leftChars="-100" w:right="-320" w:rightChars="-100" w:firstLine="640" w:firstLineChars="200"/>
        <w:textAlignment w:val="auto"/>
        <w:rPr>
          <w:rFonts w:hint="eastAsia" w:ascii="仿宋" w:hAnsi="仿宋" w:eastAsia="仿宋" w:cs="仿宋"/>
          <w:bCs/>
          <w:szCs w:val="32"/>
          <w:lang w:val="en-US" w:eastAsia="zh-CN"/>
        </w:rPr>
      </w:pPr>
      <w:r>
        <w:rPr>
          <w:rFonts w:hint="eastAsia" w:ascii="仿宋" w:hAnsi="仿宋" w:eastAsia="仿宋" w:cs="仿宋"/>
          <w:bCs/>
          <w:szCs w:val="32"/>
          <w:lang w:val="en-US" w:eastAsia="zh-CN"/>
        </w:rPr>
        <w:t>5.社会保障和就业支出(类)行政事业单位养老支出(款)机关事业单位职业年金缴费支出(项)。年初预算为20万元，支出决算为20万元，完成年初预算的100%。</w:t>
      </w:r>
    </w:p>
    <w:p>
      <w:pPr>
        <w:ind w:left="-320" w:leftChars="-100" w:right="-320" w:rightChars="-100" w:firstLine="643" w:firstLineChars="200"/>
        <w:outlineLvl w:val="0"/>
        <w:rPr>
          <w:rFonts w:hint="eastAsia" w:ascii="仿宋" w:hAnsi="仿宋" w:eastAsia="仿宋"/>
          <w:b/>
          <w:szCs w:val="32"/>
        </w:rPr>
      </w:pPr>
      <w:bookmarkStart w:id="27" w:name="_Toc16260"/>
      <w:bookmarkStart w:id="28" w:name="_Toc25842"/>
      <w:r>
        <w:rPr>
          <w:rFonts w:hint="eastAsia" w:ascii="仿宋" w:hAnsi="仿宋" w:eastAsia="仿宋"/>
          <w:b/>
          <w:szCs w:val="32"/>
          <w:lang w:eastAsia="zh-CN"/>
        </w:rPr>
        <w:t>六</w:t>
      </w:r>
      <w:r>
        <w:rPr>
          <w:rFonts w:hint="eastAsia" w:ascii="仿宋" w:hAnsi="仿宋" w:eastAsia="仿宋"/>
          <w:b/>
          <w:szCs w:val="32"/>
        </w:rPr>
        <w:t>、关于政府采购支出说明</w:t>
      </w:r>
      <w:bookmarkEnd w:id="27"/>
      <w:bookmarkEnd w:id="28"/>
    </w:p>
    <w:p>
      <w:pPr>
        <w:ind w:left="-320" w:leftChars="-100" w:right="-320" w:rightChars="-100" w:firstLine="640" w:firstLineChars="200"/>
        <w:rPr>
          <w:rFonts w:hint="eastAsia" w:ascii="仿宋" w:hAnsi="仿宋" w:eastAsia="仿宋" w:cs="仿宋"/>
          <w:bCs/>
          <w:szCs w:val="32"/>
        </w:rPr>
      </w:pPr>
      <w:r>
        <w:rPr>
          <w:rFonts w:hint="eastAsia" w:ascii="仿宋" w:hAnsi="仿宋" w:eastAsia="仿宋" w:cs="仿宋"/>
          <w:bCs/>
          <w:szCs w:val="32"/>
        </w:rPr>
        <w:t>2021年度</w:t>
      </w:r>
      <w:r>
        <w:rPr>
          <w:rFonts w:hint="eastAsia" w:ascii="仿宋" w:hAnsi="仿宋" w:eastAsia="仿宋"/>
          <w:szCs w:val="32"/>
          <w:lang w:eastAsia="zh-CN"/>
        </w:rPr>
        <w:t>本单位</w:t>
      </w:r>
      <w:r>
        <w:rPr>
          <w:rFonts w:hint="eastAsia" w:ascii="仿宋" w:hAnsi="仿宋" w:eastAsia="仿宋" w:cs="仿宋"/>
          <w:bCs/>
          <w:szCs w:val="32"/>
        </w:rPr>
        <w:t>政府采购支出总金额133.23万元，其中：政府采购货物支出76.24万元，占政府采购支出总额57.2%；政府采购服务支出56.98万元，占政府采购支出总额42.</w:t>
      </w:r>
      <w:r>
        <w:rPr>
          <w:rFonts w:hint="eastAsia" w:ascii="仿宋" w:hAnsi="仿宋" w:eastAsia="仿宋" w:cs="仿宋"/>
          <w:bCs/>
          <w:szCs w:val="32"/>
          <w:lang w:val="en-US" w:eastAsia="zh-CN"/>
        </w:rPr>
        <w:t>8</w:t>
      </w:r>
      <w:r>
        <w:rPr>
          <w:rFonts w:hint="eastAsia" w:ascii="仿宋" w:hAnsi="仿宋" w:eastAsia="仿宋" w:cs="仿宋"/>
          <w:bCs/>
          <w:szCs w:val="32"/>
        </w:rPr>
        <w:t>%。授予中小企业合同金额133.23万元，占政府采购支出总额的100%，其中：授予小微企业合同金额133.23万元，占政府采购支出总额的100%。</w:t>
      </w:r>
    </w:p>
    <w:p>
      <w:pPr>
        <w:autoSpaceDE w:val="0"/>
        <w:autoSpaceDN w:val="0"/>
        <w:adjustRightInd w:val="0"/>
        <w:ind w:left="-320" w:leftChars="-100" w:right="-320" w:rightChars="-100" w:firstLine="643" w:firstLineChars="200"/>
        <w:outlineLvl w:val="0"/>
        <w:rPr>
          <w:rFonts w:hint="eastAsia" w:ascii="仿宋" w:hAnsi="仿宋" w:eastAsia="仿宋"/>
          <w:b/>
          <w:szCs w:val="32"/>
        </w:rPr>
      </w:pPr>
      <w:bookmarkStart w:id="29" w:name="_Toc17823"/>
      <w:bookmarkStart w:id="30" w:name="_Toc17338"/>
      <w:r>
        <w:rPr>
          <w:rFonts w:hint="eastAsia" w:ascii="仿宋" w:hAnsi="仿宋" w:eastAsia="仿宋"/>
          <w:b/>
          <w:szCs w:val="32"/>
          <w:lang w:eastAsia="zh-CN"/>
        </w:rPr>
        <w:t>七</w:t>
      </w:r>
      <w:r>
        <w:rPr>
          <w:rFonts w:hint="eastAsia" w:ascii="仿宋" w:hAnsi="仿宋" w:eastAsia="仿宋"/>
          <w:b/>
          <w:szCs w:val="32"/>
        </w:rPr>
        <w:t>、关于国有资产占有情况说明</w:t>
      </w:r>
      <w:bookmarkEnd w:id="29"/>
      <w:bookmarkEnd w:id="30"/>
    </w:p>
    <w:p>
      <w:pPr>
        <w:autoSpaceDE w:val="0"/>
        <w:autoSpaceDN w:val="0"/>
        <w:adjustRightInd w:val="0"/>
        <w:ind w:left="-320" w:leftChars="-100" w:right="-320" w:rightChars="-100" w:firstLine="640" w:firstLineChars="200"/>
        <w:rPr>
          <w:rFonts w:hint="eastAsia" w:ascii="仿宋" w:hAnsi="仿宋" w:eastAsia="仿宋"/>
          <w:szCs w:val="32"/>
        </w:rPr>
      </w:pPr>
      <w:r>
        <w:rPr>
          <w:rFonts w:hint="eastAsia" w:ascii="仿宋" w:hAnsi="仿宋" w:eastAsia="仿宋"/>
          <w:szCs w:val="32"/>
        </w:rPr>
        <w:t>截止2021年12月31日，</w:t>
      </w:r>
      <w:r>
        <w:rPr>
          <w:rFonts w:hint="eastAsia" w:ascii="仿宋" w:hAnsi="仿宋" w:eastAsia="仿宋"/>
          <w:szCs w:val="32"/>
          <w:lang w:eastAsia="zh-CN"/>
        </w:rPr>
        <w:t>本单位</w:t>
      </w:r>
      <w:r>
        <w:rPr>
          <w:rFonts w:hint="eastAsia" w:ascii="仿宋" w:hAnsi="仿宋" w:eastAsia="仿宋"/>
          <w:szCs w:val="32"/>
        </w:rPr>
        <w:t>资产系统账面共有车辆20辆。包括：执法执勤用车16辆、特种专业技术用车4辆；单位价值50万元(含)以上通用设备1台（套）。</w:t>
      </w:r>
    </w:p>
    <w:p>
      <w:pPr>
        <w:ind w:left="-320" w:leftChars="-100" w:right="-320" w:rightChars="-100" w:firstLine="643" w:firstLineChars="200"/>
        <w:outlineLvl w:val="0"/>
        <w:rPr>
          <w:rFonts w:hint="eastAsia" w:ascii="仿宋" w:hAnsi="仿宋" w:eastAsia="仿宋"/>
          <w:b/>
          <w:szCs w:val="32"/>
        </w:rPr>
      </w:pPr>
      <w:bookmarkStart w:id="31" w:name="_Toc14292"/>
      <w:bookmarkStart w:id="32" w:name="_Toc19964"/>
      <w:r>
        <w:rPr>
          <w:rFonts w:hint="eastAsia" w:ascii="仿宋" w:hAnsi="仿宋" w:eastAsia="仿宋"/>
          <w:b/>
          <w:szCs w:val="32"/>
          <w:lang w:eastAsia="zh-CN"/>
        </w:rPr>
        <w:t>八</w:t>
      </w:r>
      <w:r>
        <w:rPr>
          <w:rFonts w:hint="eastAsia" w:ascii="仿宋" w:hAnsi="仿宋" w:eastAsia="仿宋"/>
          <w:b/>
          <w:szCs w:val="32"/>
        </w:rPr>
        <w:t>、关于2021年度预算绩效情况的说明</w:t>
      </w:r>
      <w:bookmarkEnd w:id="31"/>
      <w:bookmarkEnd w:id="32"/>
    </w:p>
    <w:p>
      <w:pPr>
        <w:pStyle w:val="13"/>
        <w:ind w:left="-320" w:leftChars="-100" w:right="-320" w:rightChars="-100"/>
        <w:outlineLvl w:val="1"/>
        <w:rPr>
          <w:rFonts w:cs="楷体"/>
          <w:b/>
          <w:bCs/>
          <w:szCs w:val="32"/>
        </w:rPr>
      </w:pPr>
      <w:bookmarkStart w:id="33" w:name="_Toc9492"/>
      <w:bookmarkStart w:id="34" w:name="_Toc17902"/>
      <w:bookmarkStart w:id="35" w:name="_Toc7762"/>
      <w:r>
        <w:rPr>
          <w:rFonts w:hint="eastAsia" w:cs="楷体"/>
          <w:b/>
          <w:bCs/>
          <w:szCs w:val="32"/>
        </w:rPr>
        <w:t>（一）预算绩效管理工作开展情况</w:t>
      </w:r>
      <w:bookmarkEnd w:id="33"/>
      <w:bookmarkEnd w:id="34"/>
      <w:bookmarkEnd w:id="35"/>
    </w:p>
    <w:p>
      <w:pPr>
        <w:ind w:left="-320" w:leftChars="-100" w:right="-320" w:rightChars="-100" w:firstLine="640" w:firstLineChars="200"/>
        <w:rPr>
          <w:rFonts w:ascii="仿宋" w:hAnsi="仿宋" w:eastAsia="仿宋" w:cs="宋体"/>
          <w:sz w:val="24"/>
          <w:szCs w:val="24"/>
        </w:rPr>
      </w:pPr>
      <w:r>
        <w:rPr>
          <w:rFonts w:hint="eastAsia" w:ascii="仿宋" w:hAnsi="仿宋" w:eastAsia="仿宋"/>
        </w:rPr>
        <w:t>根据预算绩效管理要求，本</w:t>
      </w:r>
      <w:r>
        <w:rPr>
          <w:rFonts w:hint="eastAsia" w:ascii="仿宋" w:hAnsi="仿宋" w:eastAsia="仿宋"/>
          <w:lang w:eastAsia="zh-CN"/>
        </w:rPr>
        <w:t>单位</w:t>
      </w:r>
      <w:r>
        <w:rPr>
          <w:rFonts w:hint="eastAsia" w:ascii="仿宋" w:hAnsi="仿宋" w:eastAsia="仿宋"/>
        </w:rPr>
        <w:t>组织对2021年度一般公共预算项目支出全面开展绩效自评，共涉及项目3个，资金564.69万元</w:t>
      </w:r>
      <w:r>
        <w:rPr>
          <w:rFonts w:hint="eastAsia" w:ascii="仿宋" w:hAnsi="仿宋" w:eastAsia="仿宋"/>
          <w:lang w:eastAsia="zh-CN"/>
        </w:rPr>
        <w:t>，</w:t>
      </w:r>
      <w:r>
        <w:rPr>
          <w:rFonts w:hint="eastAsia" w:ascii="仿宋" w:hAnsi="仿宋" w:eastAsia="仿宋"/>
        </w:rPr>
        <w:t>除不可预见费不纳入预算绩效自评范围资金外，占一般公共预算项目支出总额的100%。从评价情况来看，项目符合国家政策，立项规范，绩效目标设置较为合理，项目实施规范有序，产出指标和效果指标完成情况较好，社会效益较为显著，达到预期目标。</w:t>
      </w:r>
    </w:p>
    <w:p>
      <w:pPr>
        <w:pStyle w:val="13"/>
        <w:ind w:left="-320" w:leftChars="-100" w:right="-320" w:rightChars="-100"/>
        <w:rPr>
          <w:szCs w:val="32"/>
        </w:rPr>
      </w:pPr>
      <w:r>
        <w:rPr>
          <w:rFonts w:hint="eastAsia"/>
          <w:szCs w:val="32"/>
        </w:rPr>
        <w:t>组织开展部门整体支出绩效评价，评价情况来看，2021年度的预算编制基本合理，预算执行严格有效，严格遵守国库集中支付制度，严格执行各项财经法规和会计制度，产出及效益成果显著。</w:t>
      </w:r>
    </w:p>
    <w:p>
      <w:pPr>
        <w:pStyle w:val="13"/>
        <w:ind w:left="-320" w:leftChars="-100" w:right="-320" w:rightChars="-100"/>
        <w:outlineLvl w:val="1"/>
        <w:rPr>
          <w:rFonts w:cs="楷体"/>
          <w:szCs w:val="32"/>
        </w:rPr>
      </w:pPr>
      <w:bookmarkStart w:id="36" w:name="_Toc23912"/>
      <w:bookmarkStart w:id="37" w:name="_Toc12998"/>
      <w:bookmarkStart w:id="38" w:name="_Toc30509"/>
      <w:r>
        <w:rPr>
          <w:rFonts w:hint="eastAsia" w:cs="楷体"/>
          <w:b/>
          <w:bCs/>
          <w:szCs w:val="32"/>
        </w:rPr>
        <w:t>（二）部门决算中项目绩效自评结果</w:t>
      </w:r>
      <w:bookmarkEnd w:id="36"/>
      <w:bookmarkEnd w:id="37"/>
      <w:bookmarkEnd w:id="38"/>
      <w:r>
        <w:rPr>
          <w:rFonts w:cs="楷体"/>
          <w:szCs w:val="32"/>
        </w:rPr>
        <w:t xml:space="preserve"> </w:t>
      </w:r>
    </w:p>
    <w:p>
      <w:pPr>
        <w:pStyle w:val="13"/>
        <w:ind w:left="-320" w:leftChars="-100" w:right="-320" w:rightChars="-100"/>
        <w:rPr>
          <w:szCs w:val="32"/>
        </w:rPr>
      </w:pPr>
      <w:r>
        <w:rPr>
          <w:rFonts w:hint="eastAsia"/>
          <w:szCs w:val="32"/>
        </w:rPr>
        <w:t>本</w:t>
      </w:r>
      <w:r>
        <w:rPr>
          <w:rFonts w:hint="eastAsia"/>
          <w:szCs w:val="32"/>
          <w:lang w:eastAsia="zh-CN"/>
        </w:rPr>
        <w:t>单位</w:t>
      </w:r>
      <w:r>
        <w:rPr>
          <w:rFonts w:hint="eastAsia"/>
          <w:szCs w:val="32"/>
        </w:rPr>
        <w:t>今年在省级部门决算中反映所有项目绩效自评结果（涉密项目除外）。</w:t>
      </w:r>
    </w:p>
    <w:p>
      <w:pPr>
        <w:pStyle w:val="13"/>
        <w:ind w:left="-320" w:leftChars="-100" w:right="-320" w:rightChars="-100"/>
        <w:rPr>
          <w:szCs w:val="32"/>
        </w:rPr>
      </w:pPr>
      <w:r>
        <w:rPr>
          <w:rFonts w:hint="eastAsia"/>
          <w:szCs w:val="32"/>
        </w:rPr>
        <w:t>办案业务专项经费项目绩效自评综述：项目全年</w:t>
      </w:r>
      <w:r>
        <w:rPr>
          <w:rFonts w:hint="eastAsia" w:cs="仿宋_GB2312"/>
          <w:szCs w:val="32"/>
        </w:rPr>
        <w:t>预算数为379.69万元，执行数为379.69万元，执行率为100%。</w:t>
      </w:r>
      <w:r>
        <w:rPr>
          <w:rFonts w:hint="eastAsia"/>
          <w:szCs w:val="32"/>
        </w:rPr>
        <w:t>主要产出和效益：一是案件立案率100%；二是法定期限内结案率98.</w:t>
      </w:r>
      <w:r>
        <w:rPr>
          <w:rFonts w:hint="eastAsia"/>
          <w:szCs w:val="32"/>
          <w:lang w:val="en-US" w:eastAsia="zh-CN"/>
        </w:rPr>
        <w:t>7</w:t>
      </w:r>
      <w:r>
        <w:rPr>
          <w:szCs w:val="32"/>
        </w:rPr>
        <w:t>%</w:t>
      </w:r>
      <w:r>
        <w:rPr>
          <w:rFonts w:hint="eastAsia"/>
          <w:szCs w:val="32"/>
        </w:rPr>
        <w:t>；三是</w:t>
      </w:r>
      <w:r>
        <w:rPr>
          <w:rFonts w:hint="eastAsia"/>
          <w:kern w:val="0"/>
        </w:rPr>
        <w:t>各类案件审理结案率93.7</w:t>
      </w:r>
      <w:r>
        <w:rPr>
          <w:kern w:val="0"/>
        </w:rPr>
        <w:t>%</w:t>
      </w:r>
      <w:r>
        <w:rPr>
          <w:rFonts w:hint="eastAsia"/>
          <w:kern w:val="0"/>
        </w:rPr>
        <w:t>；四是裁判文书上网率24.2</w:t>
      </w:r>
      <w:r>
        <w:rPr>
          <w:kern w:val="0"/>
        </w:rPr>
        <w:t>%</w:t>
      </w:r>
      <w:r>
        <w:rPr>
          <w:rFonts w:hint="eastAsia"/>
          <w:kern w:val="0"/>
        </w:rPr>
        <w:t>；五是促进了经济社会和谐稳定。</w:t>
      </w:r>
      <w:r>
        <w:rPr>
          <w:rFonts w:hint="eastAsia"/>
          <w:szCs w:val="32"/>
        </w:rPr>
        <w:t>发现的问题及原因</w:t>
      </w:r>
      <w:r>
        <w:rPr>
          <w:szCs w:val="32"/>
        </w:rPr>
        <w:t>:</w:t>
      </w:r>
      <w:r>
        <w:rPr>
          <w:rFonts w:hint="eastAsia" w:cs="仿宋_GB2312"/>
          <w:szCs w:val="32"/>
        </w:rPr>
        <w:t>部分绩效指标业务部门无法提供，只能通过估算来进行绩效测评。</w:t>
      </w:r>
      <w:r>
        <w:rPr>
          <w:rFonts w:hint="eastAsia"/>
          <w:szCs w:val="32"/>
        </w:rPr>
        <w:t>下一步改进措施：一是</w:t>
      </w:r>
      <w:r>
        <w:rPr>
          <w:rFonts w:hint="eastAsia" w:cs="仿宋_GB2312"/>
          <w:szCs w:val="32"/>
        </w:rPr>
        <w:t>重视预算编制工作，结合我院不断变化的实际情况科学合理的编制部门预算；二是加强对资金使用的监督，提高资金使用效率，实现绩效目标</w:t>
      </w:r>
      <w:r>
        <w:rPr>
          <w:rFonts w:hint="eastAsia"/>
          <w:szCs w:val="32"/>
        </w:rPr>
        <w:t>。</w:t>
      </w:r>
    </w:p>
    <w:p>
      <w:pPr>
        <w:pStyle w:val="13"/>
        <w:ind w:left="-320" w:leftChars="-100" w:right="-320" w:rightChars="-100"/>
        <w:rPr>
          <w:rFonts w:hint="eastAsia"/>
          <w:szCs w:val="32"/>
        </w:rPr>
      </w:pPr>
      <w:r>
        <w:rPr>
          <w:rFonts w:hint="eastAsia" w:cs="Times New Roman"/>
          <w:szCs w:val="32"/>
        </w:rPr>
        <w:t>综合运转保障专项经费</w:t>
      </w:r>
      <w:r>
        <w:rPr>
          <w:rFonts w:hint="eastAsia"/>
          <w:szCs w:val="32"/>
        </w:rPr>
        <w:t>项目绩效自评综述：项目全年预算数为</w:t>
      </w:r>
      <w:r>
        <w:rPr>
          <w:rFonts w:hint="eastAsia" w:cs="Times New Roman"/>
          <w:szCs w:val="32"/>
        </w:rPr>
        <w:t>165</w:t>
      </w:r>
      <w:r>
        <w:rPr>
          <w:rFonts w:hint="eastAsia"/>
          <w:szCs w:val="32"/>
        </w:rPr>
        <w:t>万元，执行数为</w:t>
      </w:r>
      <w:r>
        <w:rPr>
          <w:rFonts w:hint="eastAsia" w:cs="Times New Roman"/>
          <w:szCs w:val="32"/>
        </w:rPr>
        <w:t>165</w:t>
      </w:r>
      <w:r>
        <w:rPr>
          <w:rFonts w:hint="eastAsia"/>
          <w:szCs w:val="32"/>
        </w:rPr>
        <w:t>万元，完成预算</w:t>
      </w:r>
      <w:r>
        <w:rPr>
          <w:rFonts w:hint="eastAsia" w:cs="Times New Roman"/>
          <w:szCs w:val="32"/>
        </w:rPr>
        <w:t>100</w:t>
      </w:r>
      <w:r>
        <w:rPr>
          <w:rFonts w:cs="Times New Roman"/>
          <w:szCs w:val="32"/>
        </w:rPr>
        <w:t>%</w:t>
      </w:r>
      <w:r>
        <w:rPr>
          <w:rFonts w:hint="eastAsia"/>
          <w:szCs w:val="32"/>
        </w:rPr>
        <w:t>。主要产出和效益：一是</w:t>
      </w:r>
      <w:r>
        <w:rPr>
          <w:rFonts w:hint="eastAsia" w:cs="仿宋_GB2312"/>
          <w:szCs w:val="32"/>
        </w:rPr>
        <w:t>项目受益人员满意度情况</w:t>
      </w:r>
      <w:r>
        <w:rPr>
          <w:szCs w:val="21"/>
        </w:rPr>
        <w:t>95%</w:t>
      </w:r>
      <w:r>
        <w:rPr>
          <w:rFonts w:hint="eastAsia"/>
          <w:szCs w:val="32"/>
        </w:rPr>
        <w:t>；二是</w:t>
      </w:r>
      <w:r>
        <w:rPr>
          <w:rFonts w:hint="eastAsia" w:cs="仿宋_GB2312"/>
          <w:szCs w:val="32"/>
        </w:rPr>
        <w:t>项目成本控制率</w:t>
      </w:r>
      <w:r>
        <w:rPr>
          <w:rFonts w:hint="eastAsia"/>
          <w:szCs w:val="21"/>
        </w:rPr>
        <w:t>不超预算</w:t>
      </w:r>
      <w:r>
        <w:rPr>
          <w:rFonts w:hint="eastAsia"/>
          <w:szCs w:val="32"/>
        </w:rPr>
        <w:t>；三是</w:t>
      </w:r>
      <w:r>
        <w:rPr>
          <w:rFonts w:hint="eastAsia" w:cs="仿宋_GB2312"/>
          <w:szCs w:val="32"/>
        </w:rPr>
        <w:t>年度计划工作完成率93.7%</w:t>
      </w:r>
      <w:r>
        <w:rPr>
          <w:rFonts w:hint="eastAsia"/>
          <w:szCs w:val="32"/>
        </w:rPr>
        <w:t>；四是</w:t>
      </w:r>
      <w:r>
        <w:rPr>
          <w:rFonts w:hint="eastAsia" w:cs="仿宋_GB2312"/>
          <w:szCs w:val="32"/>
        </w:rPr>
        <w:t>保障机关正常运转</w:t>
      </w:r>
      <w:r>
        <w:rPr>
          <w:rFonts w:hint="eastAsia"/>
          <w:szCs w:val="32"/>
        </w:rPr>
        <w:t>；五是</w:t>
      </w:r>
      <w:r>
        <w:rPr>
          <w:rFonts w:hint="eastAsia" w:cs="仿宋_GB2312"/>
          <w:szCs w:val="32"/>
        </w:rPr>
        <w:t>及时完成年度工作计划</w:t>
      </w:r>
      <w:r>
        <w:rPr>
          <w:rFonts w:hint="eastAsia"/>
          <w:szCs w:val="32"/>
        </w:rPr>
        <w:t>。发现的问题及原因：一是项目管理制度有待进一步完善；二是对项目实施过程中可能发生的问题没有预判机制；三是</w:t>
      </w:r>
      <w:r>
        <w:rPr>
          <w:rFonts w:hint="eastAsia" w:cs="仿宋_GB2312"/>
          <w:szCs w:val="32"/>
        </w:rPr>
        <w:t>部分满意度绩效指标业务部门无法提供，只能通过抽查部分人员反馈来进行绩效测评。</w:t>
      </w:r>
      <w:r>
        <w:rPr>
          <w:rFonts w:hint="eastAsia"/>
          <w:szCs w:val="32"/>
        </w:rPr>
        <w:t>下一步改进措施：一是加强项目监管手段，对项目实施中存在的问题及时预警，对项目执行情况进行研判；二是</w:t>
      </w:r>
      <w:r>
        <w:rPr>
          <w:rFonts w:hint="eastAsia" w:cs="仿宋_GB2312"/>
          <w:szCs w:val="32"/>
        </w:rPr>
        <w:t>科学编制部门预算，不断优化科学编制绩效目标。</w:t>
      </w:r>
    </w:p>
    <w:p>
      <w:pPr>
        <w:pStyle w:val="13"/>
        <w:ind w:left="-320" w:leftChars="-100" w:right="-320" w:rightChars="-100"/>
        <w:rPr>
          <w:szCs w:val="32"/>
        </w:rPr>
      </w:pPr>
      <w:r>
        <w:rPr>
          <w:rFonts w:hint="eastAsia"/>
          <w:szCs w:val="32"/>
        </w:rPr>
        <w:t>信息化运行维护专项经费项目绩效自评综述：项目全年预算数为</w:t>
      </w:r>
      <w:r>
        <w:rPr>
          <w:rFonts w:hint="eastAsia" w:cs="Times New Roman"/>
          <w:szCs w:val="32"/>
        </w:rPr>
        <w:t>20</w:t>
      </w:r>
      <w:r>
        <w:rPr>
          <w:rFonts w:hint="eastAsia"/>
          <w:szCs w:val="32"/>
        </w:rPr>
        <w:t>万元，执行数为</w:t>
      </w:r>
      <w:r>
        <w:rPr>
          <w:rFonts w:hint="eastAsia" w:cs="Times New Roman"/>
          <w:szCs w:val="32"/>
        </w:rPr>
        <w:t>20</w:t>
      </w:r>
      <w:r>
        <w:rPr>
          <w:rFonts w:hint="eastAsia"/>
          <w:szCs w:val="32"/>
        </w:rPr>
        <w:t>万元，完成预算</w:t>
      </w:r>
      <w:r>
        <w:rPr>
          <w:rFonts w:hint="eastAsia" w:cs="Times New Roman"/>
          <w:szCs w:val="32"/>
        </w:rPr>
        <w:t>100</w:t>
      </w:r>
      <w:r>
        <w:rPr>
          <w:rFonts w:cs="Times New Roman"/>
          <w:szCs w:val="32"/>
        </w:rPr>
        <w:t>%</w:t>
      </w:r>
      <w:r>
        <w:rPr>
          <w:rFonts w:hint="eastAsia"/>
          <w:szCs w:val="32"/>
        </w:rPr>
        <w:t>。主要产出和效益：一是</w:t>
      </w:r>
      <w:r>
        <w:rPr>
          <w:rFonts w:hint="eastAsia" w:ascii="仿宋_GB2312" w:hAnsi="宋体" w:eastAsia="仿宋_GB2312" w:cs="Times New Roman"/>
          <w:kern w:val="0"/>
        </w:rPr>
        <w:t>信息系统及时运维保障</w:t>
      </w:r>
      <w:r>
        <w:rPr>
          <w:rFonts w:hint="eastAsia"/>
          <w:szCs w:val="32"/>
        </w:rPr>
        <w:t>；二是</w:t>
      </w:r>
      <w:r>
        <w:rPr>
          <w:rFonts w:hint="eastAsia" w:ascii="仿宋_GB2312" w:hAnsi="宋体" w:eastAsia="仿宋_GB2312" w:cs="Times New Roman"/>
          <w:kern w:val="0"/>
        </w:rPr>
        <w:t>信息系统数据实时更新90%</w:t>
      </w:r>
      <w:r>
        <w:rPr>
          <w:rFonts w:hint="eastAsia"/>
          <w:kern w:val="0"/>
        </w:rPr>
        <w:t>；三是</w:t>
      </w:r>
      <w:r>
        <w:rPr>
          <w:rFonts w:hint="eastAsia" w:ascii="仿宋_GB2312" w:hAnsi="宋体" w:eastAsia="仿宋_GB2312" w:cs="Times New Roman"/>
          <w:kern w:val="0"/>
        </w:rPr>
        <w:t>项目成本控制不超预算</w:t>
      </w:r>
      <w:r>
        <w:rPr>
          <w:rFonts w:hint="eastAsia"/>
          <w:kern w:val="0"/>
        </w:rPr>
        <w:t>；四是系统正常运行率95%；五是审判信息公开率100%；六是服务对象满意度90</w:t>
      </w:r>
      <w:r>
        <w:rPr>
          <w:kern w:val="0"/>
        </w:rPr>
        <w:t>%</w:t>
      </w:r>
      <w:r>
        <w:rPr>
          <w:rFonts w:hint="eastAsia"/>
          <w:kern w:val="0"/>
        </w:rPr>
        <w:t>。</w:t>
      </w:r>
      <w:r>
        <w:rPr>
          <w:rFonts w:hint="eastAsia"/>
          <w:szCs w:val="32"/>
        </w:rPr>
        <w:t>发现的问题及原因：部分绩效指标业务部门无法提供，只能通过估算来进行绩效测评。下一步改进措施：一是加强项目监控管理，</w:t>
      </w:r>
      <w:r>
        <w:rPr>
          <w:rFonts w:hint="eastAsia" w:cs="仿宋_GB2312"/>
          <w:szCs w:val="32"/>
        </w:rPr>
        <w:t>结合我院不断变化的实际情况科学合理的编制部门预算；二是加强对资金使用的监督，提高资金使用效率，</w:t>
      </w:r>
      <w:r>
        <w:rPr>
          <w:rFonts w:hint="eastAsia"/>
          <w:szCs w:val="32"/>
        </w:rPr>
        <w:t>积极落实每一个工作环节，完成当年工作任务</w:t>
      </w:r>
      <w:r>
        <w:rPr>
          <w:rFonts w:hint="eastAsia" w:cs="仿宋_GB2312"/>
          <w:szCs w:val="32"/>
        </w:rPr>
        <w:t>，实现绩效目标</w:t>
      </w:r>
      <w:r>
        <w:rPr>
          <w:rFonts w:hint="eastAsia"/>
          <w:szCs w:val="32"/>
        </w:rPr>
        <w:t>。</w:t>
      </w:r>
    </w:p>
    <w:p>
      <w:pPr>
        <w:pStyle w:val="13"/>
        <w:ind w:left="-320" w:leftChars="-100" w:right="-320" w:rightChars="-100"/>
        <w:outlineLvl w:val="1"/>
        <w:rPr>
          <w:rFonts w:cs="楷体"/>
          <w:b/>
          <w:bCs/>
          <w:szCs w:val="32"/>
        </w:rPr>
      </w:pPr>
      <w:bookmarkStart w:id="39" w:name="_Toc2425"/>
      <w:bookmarkStart w:id="40" w:name="_Toc17189"/>
      <w:bookmarkStart w:id="41" w:name="_Toc4389"/>
      <w:r>
        <w:rPr>
          <w:rFonts w:hint="eastAsia" w:cs="楷体"/>
          <w:b/>
          <w:bCs/>
          <w:szCs w:val="32"/>
        </w:rPr>
        <w:t>（三）绩效评价结果应用情况</w:t>
      </w:r>
      <w:bookmarkEnd w:id="39"/>
      <w:bookmarkEnd w:id="40"/>
      <w:bookmarkEnd w:id="41"/>
    </w:p>
    <w:p>
      <w:pPr>
        <w:pStyle w:val="13"/>
        <w:ind w:left="-320" w:leftChars="-100" w:right="-320" w:rightChars="-100"/>
        <w:rPr>
          <w:szCs w:val="32"/>
        </w:rPr>
      </w:pPr>
      <w:r>
        <w:rPr>
          <w:szCs w:val="32"/>
        </w:rPr>
        <w:t>1</w:t>
      </w:r>
      <w:r>
        <w:rPr>
          <w:rFonts w:hint="eastAsia"/>
          <w:szCs w:val="32"/>
        </w:rPr>
        <w:t>.部门绩效评价结果应用情况</w:t>
      </w:r>
    </w:p>
    <w:p>
      <w:pPr>
        <w:pStyle w:val="13"/>
        <w:ind w:left="-320" w:leftChars="-100" w:right="-320" w:rightChars="-100"/>
        <w:rPr>
          <w:rFonts w:hint="eastAsia" w:cs="仿宋_GB2312"/>
          <w:szCs w:val="32"/>
        </w:rPr>
      </w:pPr>
      <w:r>
        <w:rPr>
          <w:rFonts w:hint="eastAsia" w:cs="仿宋_GB2312"/>
          <w:szCs w:val="32"/>
        </w:rPr>
        <w:t>优化了本年预算绩效目标管理，使绩效目标更加贴合本单位实际，编制更加科学合理。</w:t>
      </w:r>
    </w:p>
    <w:p>
      <w:pPr>
        <w:pStyle w:val="13"/>
        <w:ind w:left="-320" w:leftChars="-100" w:right="-320" w:rightChars="-100"/>
        <w:rPr>
          <w:szCs w:val="32"/>
        </w:rPr>
      </w:pPr>
      <w:r>
        <w:rPr>
          <w:szCs w:val="32"/>
        </w:rPr>
        <w:t>2</w:t>
      </w:r>
      <w:r>
        <w:rPr>
          <w:rFonts w:hint="eastAsia"/>
          <w:szCs w:val="32"/>
        </w:rPr>
        <w:t>.部门绩效评价结果拟应用情况</w:t>
      </w:r>
    </w:p>
    <w:p>
      <w:pPr>
        <w:spacing w:line="360" w:lineRule="auto"/>
        <w:ind w:left="-320" w:leftChars="-100" w:right="-320" w:rightChars="-100" w:firstLine="640" w:firstLineChars="200"/>
        <w:rPr>
          <w:rFonts w:ascii="仿宋" w:hAnsi="仿宋" w:eastAsia="仿宋"/>
          <w:szCs w:val="32"/>
        </w:rPr>
      </w:pPr>
      <w:r>
        <w:rPr>
          <w:rFonts w:hint="eastAsia" w:ascii="仿宋" w:hAnsi="仿宋" w:eastAsia="仿宋"/>
          <w:szCs w:val="32"/>
        </w:rPr>
        <w:t>根据绩效结果，进一步提高我院对预算绩效管理工作的认识和重视程度，将绩效评价结果作为下年度资金安排、预算编制、绩效目标调整的重要依据，促进预算资金合理分配，进一步优化资源配置，提高资金使用效益。</w:t>
      </w:r>
    </w:p>
    <w:p>
      <w:pPr>
        <w:ind w:left="-320" w:leftChars="-100" w:right="-320" w:rightChars="-100" w:firstLine="630" w:firstLineChars="196"/>
        <w:outlineLvl w:val="0"/>
        <w:rPr>
          <w:rFonts w:hint="eastAsia" w:ascii="仿宋" w:hAnsi="仿宋" w:eastAsia="仿宋"/>
          <w:b/>
          <w:szCs w:val="32"/>
        </w:rPr>
      </w:pPr>
      <w:bookmarkStart w:id="42" w:name="_Toc19632"/>
      <w:bookmarkStart w:id="43" w:name="_Toc2292"/>
      <w:r>
        <w:rPr>
          <w:rFonts w:hint="eastAsia" w:ascii="仿宋" w:hAnsi="仿宋" w:eastAsia="仿宋"/>
          <w:b/>
          <w:szCs w:val="32"/>
          <w:lang w:eastAsia="zh-CN"/>
        </w:rPr>
        <w:t>九</w:t>
      </w:r>
      <w:r>
        <w:rPr>
          <w:rFonts w:hint="eastAsia" w:ascii="仿宋" w:hAnsi="仿宋" w:eastAsia="仿宋"/>
          <w:b/>
          <w:szCs w:val="32"/>
        </w:rPr>
        <w:t>、其他需要说明的事项</w:t>
      </w:r>
      <w:bookmarkEnd w:id="42"/>
      <w:bookmarkEnd w:id="43"/>
    </w:p>
    <w:p>
      <w:pPr>
        <w:ind w:left="-320" w:leftChars="-100" w:right="-320" w:rightChars="-100" w:firstLine="640" w:firstLineChars="200"/>
        <w:rPr>
          <w:rFonts w:hint="eastAsia" w:ascii="仿宋" w:hAnsi="仿宋" w:eastAsia="仿宋"/>
          <w:szCs w:val="32"/>
          <w:shd w:val="clear" w:color="auto" w:fill="FFFFFF"/>
        </w:rPr>
      </w:pPr>
      <w:r>
        <w:rPr>
          <w:rFonts w:hint="eastAsia" w:ascii="仿宋" w:hAnsi="仿宋" w:eastAsia="仿宋"/>
        </w:rPr>
        <w:t>（一）2021年度</w:t>
      </w:r>
      <w:r>
        <w:rPr>
          <w:rFonts w:hint="eastAsia" w:ascii="仿宋" w:hAnsi="仿宋" w:eastAsia="仿宋"/>
          <w:lang w:eastAsia="zh-CN"/>
        </w:rPr>
        <w:t>本单位</w:t>
      </w:r>
      <w:r>
        <w:rPr>
          <w:rFonts w:hint="eastAsia" w:ascii="仿宋" w:hAnsi="仿宋" w:eastAsia="仿宋"/>
        </w:rPr>
        <w:t>决算公开表见附件，</w:t>
      </w:r>
      <w:r>
        <w:rPr>
          <w:rFonts w:hint="eastAsia" w:ascii="仿宋" w:hAnsi="仿宋" w:eastAsia="仿宋"/>
          <w:szCs w:val="32"/>
          <w:shd w:val="clear" w:color="auto" w:fill="FFFFFF"/>
          <w:lang w:eastAsia="zh-CN"/>
        </w:rPr>
        <w:t>本单位</w:t>
      </w:r>
      <w:r>
        <w:rPr>
          <w:rFonts w:hint="eastAsia" w:ascii="仿宋" w:hAnsi="仿宋" w:eastAsia="仿宋"/>
          <w:szCs w:val="32"/>
          <w:shd w:val="clear" w:color="auto" w:fill="FFFFFF"/>
        </w:rPr>
        <w:t>2021年无政府性基金收支、国有资本经营收支，故2021年决算公开表中表</w:t>
      </w:r>
      <w:r>
        <w:rPr>
          <w:rFonts w:ascii="仿宋" w:hAnsi="仿宋" w:eastAsia="仿宋"/>
          <w:szCs w:val="32"/>
          <w:shd w:val="clear" w:color="auto" w:fill="FFFFFF"/>
        </w:rPr>
        <w:t>8</w:t>
      </w:r>
      <w:r>
        <w:rPr>
          <w:rFonts w:hint="eastAsia" w:ascii="仿宋" w:hAnsi="仿宋" w:eastAsia="仿宋"/>
          <w:szCs w:val="32"/>
          <w:shd w:val="clear" w:color="auto" w:fill="FFFFFF"/>
        </w:rPr>
        <w:t>《</w:t>
      </w:r>
      <w:r>
        <w:rPr>
          <w:rFonts w:hint="eastAsia" w:ascii="仿宋" w:hAnsi="仿宋" w:eastAsia="仿宋"/>
        </w:rPr>
        <w:t>2021年政府性</w:t>
      </w:r>
      <w:r>
        <w:rPr>
          <w:rFonts w:ascii="仿宋" w:hAnsi="仿宋" w:eastAsia="仿宋"/>
        </w:rPr>
        <w:t>基金预算财政拨款收入支出决算表</w:t>
      </w:r>
      <w:r>
        <w:rPr>
          <w:rFonts w:hint="eastAsia" w:ascii="仿宋" w:hAnsi="仿宋" w:eastAsia="仿宋"/>
          <w:szCs w:val="32"/>
          <w:shd w:val="clear" w:color="auto" w:fill="FFFFFF"/>
        </w:rPr>
        <w:t>》、表</w:t>
      </w:r>
      <w:r>
        <w:rPr>
          <w:rFonts w:ascii="仿宋" w:hAnsi="仿宋" w:eastAsia="仿宋"/>
          <w:szCs w:val="32"/>
          <w:shd w:val="clear" w:color="auto" w:fill="FFFFFF"/>
        </w:rPr>
        <w:t>9</w:t>
      </w:r>
      <w:r>
        <w:rPr>
          <w:rFonts w:hint="eastAsia" w:ascii="仿宋" w:hAnsi="仿宋" w:eastAsia="仿宋"/>
          <w:szCs w:val="32"/>
          <w:shd w:val="clear" w:color="auto" w:fill="FFFFFF"/>
        </w:rPr>
        <w:t>《</w:t>
      </w:r>
      <w:r>
        <w:rPr>
          <w:rFonts w:hint="eastAsia" w:ascii="仿宋" w:hAnsi="仿宋" w:eastAsia="仿宋"/>
        </w:rPr>
        <w:t>2021年国有资本经营预算财政拨款支出决算表</w:t>
      </w:r>
      <w:r>
        <w:rPr>
          <w:rFonts w:hint="eastAsia" w:ascii="仿宋" w:hAnsi="仿宋" w:eastAsia="仿宋"/>
          <w:szCs w:val="32"/>
          <w:shd w:val="clear" w:color="auto" w:fill="FFFFFF"/>
        </w:rPr>
        <w:t>》为空表；</w:t>
      </w:r>
    </w:p>
    <w:p>
      <w:pPr>
        <w:ind w:left="-320" w:leftChars="-100" w:right="-320" w:rightChars="-100" w:firstLine="640" w:firstLineChars="200"/>
        <w:rPr>
          <w:rFonts w:hint="eastAsia" w:ascii="仿宋" w:hAnsi="仿宋" w:eastAsia="仿宋"/>
        </w:rPr>
      </w:pPr>
      <w:r>
        <w:rPr>
          <w:rFonts w:hint="eastAsia" w:ascii="仿宋" w:hAnsi="仿宋" w:eastAsia="仿宋"/>
          <w:szCs w:val="32"/>
          <w:shd w:val="clear" w:color="auto" w:fill="FFFFFF"/>
        </w:rPr>
        <w:t>（二）公开表数据单位均为万元，因数据四舍五入的原因，部分数据合计数与分项之间存在细微的差额。</w:t>
      </w:r>
    </w:p>
    <w:p>
      <w:pPr>
        <w:ind w:left="-320" w:leftChars="-100" w:right="-320" w:rightChars="-100" w:firstLine="643" w:firstLineChars="200"/>
        <w:outlineLvl w:val="0"/>
        <w:rPr>
          <w:rFonts w:hint="eastAsia" w:ascii="仿宋" w:hAnsi="仿宋" w:eastAsia="仿宋"/>
          <w:b/>
          <w:szCs w:val="32"/>
        </w:rPr>
      </w:pPr>
      <w:bookmarkStart w:id="44" w:name="_Toc25259"/>
      <w:bookmarkStart w:id="45" w:name="_Toc11491"/>
      <w:r>
        <w:rPr>
          <w:rFonts w:hint="eastAsia" w:ascii="仿宋" w:hAnsi="仿宋" w:eastAsia="仿宋"/>
          <w:b/>
          <w:szCs w:val="32"/>
          <w:lang w:eastAsia="zh-CN"/>
        </w:rPr>
        <w:t>十</w:t>
      </w:r>
      <w:r>
        <w:rPr>
          <w:rFonts w:hint="eastAsia" w:ascii="仿宋" w:hAnsi="仿宋" w:eastAsia="仿宋"/>
          <w:b/>
          <w:szCs w:val="32"/>
        </w:rPr>
        <w:t>、专业名词解释</w:t>
      </w:r>
      <w:bookmarkEnd w:id="44"/>
      <w:bookmarkEnd w:id="45"/>
    </w:p>
    <w:p>
      <w:pPr>
        <w:ind w:left="-320" w:leftChars="-100" w:right="-320" w:rightChars="-100" w:firstLine="480" w:firstLineChars="150"/>
        <w:rPr>
          <w:rFonts w:ascii="仿宋" w:hAnsi="仿宋" w:eastAsia="仿宋"/>
        </w:rPr>
      </w:pPr>
      <w:r>
        <w:rPr>
          <w:rFonts w:hint="eastAsia" w:ascii="仿宋" w:hAnsi="仿宋" w:eastAsia="仿宋"/>
        </w:rPr>
        <w:t>（一）财政拨款收入：指省财政当年拨付的资金。</w:t>
      </w:r>
    </w:p>
    <w:p>
      <w:pPr>
        <w:ind w:left="-320" w:leftChars="-100" w:right="-320" w:rightChars="-100"/>
        <w:rPr>
          <w:rFonts w:ascii="仿宋" w:hAnsi="仿宋" w:eastAsia="仿宋"/>
        </w:rPr>
      </w:pPr>
      <w:r>
        <w:rPr>
          <w:rFonts w:hint="eastAsia" w:ascii="仿宋" w:hAnsi="仿宋" w:eastAsia="仿宋"/>
        </w:rPr>
        <w:t>　 （二）其他收入：指除财政拨款收入以外的收入。主要是按规定动用的地方政府拨款收入、补助收入等。</w:t>
      </w:r>
    </w:p>
    <w:p>
      <w:pPr>
        <w:ind w:left="-320" w:leftChars="-100" w:right="-320" w:rightChars="-100"/>
        <w:rPr>
          <w:rFonts w:ascii="仿宋" w:hAnsi="仿宋" w:eastAsia="仿宋"/>
        </w:rPr>
      </w:pPr>
      <w:r>
        <w:rPr>
          <w:rFonts w:hint="eastAsia" w:ascii="仿宋" w:hAnsi="仿宋" w:eastAsia="仿宋"/>
        </w:rPr>
        <w:t>　 （三）基本支出：指为保障机构正常运转、完成日常工作任务而发生的人员支出和公用支出。</w:t>
      </w:r>
    </w:p>
    <w:p>
      <w:pPr>
        <w:ind w:left="-320" w:leftChars="-100" w:right="-320" w:rightChars="-100"/>
        <w:rPr>
          <w:rFonts w:ascii="仿宋" w:hAnsi="仿宋" w:eastAsia="仿宋"/>
        </w:rPr>
      </w:pPr>
      <w:r>
        <w:rPr>
          <w:rFonts w:hint="eastAsia" w:ascii="仿宋" w:hAnsi="仿宋" w:eastAsia="仿宋"/>
        </w:rPr>
        <w:t>　 （四）项目支出：指在基本支出之外为完成特定行政任务和事业发展目标所发生的支出。</w:t>
      </w:r>
    </w:p>
    <w:p>
      <w:pPr>
        <w:ind w:left="-320" w:leftChars="-100" w:right="-320" w:rightChars="-100"/>
        <w:rPr>
          <w:rFonts w:hint="eastAsia" w:ascii="仿宋" w:hAnsi="仿宋" w:eastAsia="仿宋"/>
        </w:rPr>
      </w:pPr>
      <w:r>
        <w:rPr>
          <w:rFonts w:hint="eastAsia" w:ascii="仿宋" w:hAnsi="仿宋" w:eastAsia="仿宋"/>
        </w:rPr>
        <w:t>　 （五）“三公”经费财政拨款支出：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所发生的租用费、燃料费、维修费、过路过桥费、保险费等支出；公务接待费指单位按规定开支的各类公务接待（含外宾接待）支出。</w:t>
      </w:r>
    </w:p>
    <w:p>
      <w:pPr>
        <w:pStyle w:val="13"/>
        <w:ind w:left="-320" w:leftChars="-100" w:right="-320" w:rightChars="-100"/>
        <w:rPr>
          <w:rFonts w:hint="eastAsia"/>
        </w:rPr>
      </w:pPr>
      <w:r>
        <w:rPr>
          <w:rFonts w:hint="eastAsia"/>
        </w:rPr>
        <w:t>（六）行政运行：指行政单位的基本支出。</w:t>
      </w:r>
    </w:p>
    <w:p>
      <w:pPr>
        <w:pStyle w:val="13"/>
        <w:ind w:left="-320" w:leftChars="-100" w:right="-320" w:rightChars="-100"/>
        <w:rPr>
          <w:rFonts w:hint="eastAsia"/>
        </w:rPr>
      </w:pPr>
      <w:r>
        <w:rPr>
          <w:rFonts w:hint="eastAsia"/>
        </w:rPr>
        <w:t>（七）一般行政管理事务：指行政单位未单独设置项级科目的其他项目支出。</w:t>
      </w:r>
    </w:p>
    <w:p>
      <w:pPr>
        <w:pStyle w:val="13"/>
        <w:ind w:left="-320" w:leftChars="-100" w:right="-320" w:rightChars="-100"/>
        <w:rPr>
          <w:rFonts w:hint="eastAsia"/>
        </w:rPr>
      </w:pPr>
      <w:r>
        <w:rPr>
          <w:rFonts w:hint="eastAsia"/>
        </w:rPr>
        <w:t>（八）机关服务：指行政单位提供后勤服务的各类后勤服务中心、医务室等附属事业单位的支出。</w:t>
      </w:r>
    </w:p>
    <w:p>
      <w:pPr>
        <w:pStyle w:val="13"/>
        <w:ind w:left="-320" w:leftChars="-100" w:right="-320" w:rightChars="-100"/>
        <w:rPr>
          <w:rFonts w:hint="eastAsia"/>
        </w:rPr>
      </w:pPr>
      <w:r>
        <w:rPr>
          <w:rFonts w:hint="eastAsia"/>
        </w:rPr>
        <w:t>（九）案件审判：指人民法院对刑事、民事、行政、涉外等案件审判活动的支出。</w:t>
      </w:r>
    </w:p>
    <w:p>
      <w:pPr>
        <w:pStyle w:val="13"/>
        <w:ind w:left="-320" w:leftChars="-100" w:right="-320" w:rightChars="-100"/>
      </w:pPr>
      <w:r>
        <w:rPr>
          <w:rFonts w:hint="eastAsia"/>
        </w:rPr>
        <w:t>（十）其他法院支出：指除上述项目以外其他用于法院方面的支出。</w:t>
      </w:r>
    </w:p>
    <w:p>
      <w:pPr>
        <w:pStyle w:val="13"/>
        <w:ind w:left="-320" w:leftChars="-100" w:right="-320" w:rightChars="-100"/>
        <w:rPr>
          <w:rFonts w:hint="eastAsia"/>
        </w:rPr>
      </w:pPr>
      <w:r>
        <w:rPr>
          <w:rFonts w:hint="eastAsia"/>
        </w:rPr>
        <w:t xml:space="preserve"> (十一)机关运行经费：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pStyle w:val="13"/>
        <w:ind w:left="-320" w:leftChars="-100" w:right="-320" w:rightChars="-100"/>
        <w:rPr>
          <w:rFonts w:hint="eastAsia"/>
        </w:rPr>
      </w:pPr>
      <w:r>
        <w:rPr>
          <w:rFonts w:hint="eastAsia"/>
        </w:rPr>
        <w:t>（十二）年初结转和结余：指以前年度尚未完成、结转到本年仍按原规定用途继续使用的资金，或项目已完成等产生的结余资金。</w:t>
      </w:r>
    </w:p>
    <w:p>
      <w:pPr>
        <w:pStyle w:val="13"/>
        <w:ind w:left="-320" w:leftChars="-100" w:right="-320" w:rightChars="-100"/>
        <w:rPr>
          <w:rFonts w:hint="eastAsia"/>
        </w:rPr>
      </w:pPr>
      <w:r>
        <w:rPr>
          <w:rFonts w:hint="eastAsia"/>
        </w:rPr>
        <w:t>（十三）年末结转和结余：指单位按有关规定结转到下年或以后年度继续使用的资金，或项目已完成等产生的结余资金。</w:t>
      </w:r>
    </w:p>
    <w:p>
      <w:pPr>
        <w:ind w:left="-320" w:leftChars="-100" w:right="-320" w:rightChars="-100"/>
        <w:rPr>
          <w:rFonts w:hint="eastAsia" w:ascii="仿宋" w:hAnsi="仿宋" w:eastAsia="仿宋"/>
          <w:szCs w:val="32"/>
        </w:rPr>
      </w:pPr>
    </w:p>
    <w:p>
      <w:pPr>
        <w:autoSpaceDE w:val="0"/>
        <w:autoSpaceDN w:val="0"/>
        <w:adjustRightInd w:val="0"/>
        <w:ind w:left="-320" w:leftChars="-100" w:right="-320" w:rightChars="-100" w:firstLine="320" w:firstLineChars="100"/>
        <w:rPr>
          <w:rFonts w:hint="eastAsia" w:ascii="仿宋" w:hAnsi="仿宋" w:eastAsia="仿宋" w:cs="Courier New"/>
          <w:szCs w:val="32"/>
        </w:rPr>
      </w:pPr>
    </w:p>
    <w:p>
      <w:pPr>
        <w:ind w:left="-320" w:leftChars="-100" w:right="-320" w:rightChars="-100"/>
        <w:outlineLvl w:val="0"/>
        <w:rPr>
          <w:rFonts w:hint="eastAsia" w:ascii="仿宋" w:hAnsi="仿宋" w:eastAsia="仿宋"/>
        </w:rPr>
      </w:pPr>
      <w:r>
        <w:rPr>
          <w:rFonts w:hint="eastAsia" w:ascii="仿宋" w:hAnsi="仿宋" w:eastAsia="仿宋"/>
        </w:rPr>
        <w:t xml:space="preserve"> </w:t>
      </w:r>
      <w:bookmarkStart w:id="46" w:name="_Toc22538"/>
      <w:bookmarkStart w:id="47" w:name="_Toc4613"/>
      <w:bookmarkStart w:id="48" w:name="_Toc4529"/>
    </w:p>
    <w:p>
      <w:pPr>
        <w:ind w:left="-320" w:leftChars="-100" w:right="-320" w:rightChars="-100" w:firstLine="320" w:firstLineChars="100"/>
        <w:outlineLvl w:val="0"/>
        <w:rPr>
          <w:rFonts w:hint="eastAsia" w:ascii="仿宋" w:hAnsi="仿宋" w:eastAsia="仿宋"/>
        </w:rPr>
      </w:pPr>
      <w:r>
        <w:rPr>
          <w:rFonts w:hint="eastAsia" w:ascii="仿宋" w:hAnsi="仿宋" w:eastAsia="仿宋"/>
        </w:rPr>
        <w:t>附：1、2021年度潜江市人民法院决算公开表（表1-9）</w:t>
      </w:r>
      <w:bookmarkEnd w:id="46"/>
      <w:bookmarkEnd w:id="47"/>
      <w:bookmarkEnd w:id="48"/>
    </w:p>
    <w:p>
      <w:pPr>
        <w:ind w:left="-320" w:leftChars="-100" w:right="-320" w:rightChars="-100" w:firstLine="960" w:firstLineChars="300"/>
        <w:outlineLvl w:val="0"/>
        <w:rPr>
          <w:rFonts w:hint="eastAsia" w:ascii="仿宋" w:hAnsi="仿宋" w:eastAsia="仿宋"/>
        </w:rPr>
      </w:pPr>
      <w:bookmarkStart w:id="49" w:name="_Toc3946"/>
      <w:bookmarkStart w:id="50" w:name="_Toc29150"/>
      <w:bookmarkStart w:id="51" w:name="_Toc22892"/>
      <w:r>
        <w:rPr>
          <w:rFonts w:hint="eastAsia" w:ascii="仿宋" w:hAnsi="仿宋" w:eastAsia="仿宋"/>
        </w:rPr>
        <w:t>2、2021年度潜江市人民法院整体支出绩效自评表</w:t>
      </w:r>
      <w:r>
        <w:rPr>
          <w:rFonts w:hint="eastAsia" w:ascii="仿宋" w:hAnsi="仿宋" w:eastAsia="仿宋"/>
          <w:lang w:eastAsia="zh-CN"/>
        </w:rPr>
        <w:t>、</w:t>
      </w:r>
      <w:r>
        <w:rPr>
          <w:rFonts w:hint="eastAsia" w:ascii="仿宋" w:hAnsi="仿宋" w:eastAsia="仿宋"/>
        </w:rPr>
        <w:t>项目绩效自评表</w:t>
      </w:r>
      <w:bookmarkEnd w:id="49"/>
      <w:bookmarkEnd w:id="50"/>
      <w:bookmarkEnd w:id="51"/>
    </w:p>
    <w:p>
      <w:pPr>
        <w:ind w:left="-320" w:leftChars="-100" w:right="-320" w:rightChars="-100" w:firstLine="960" w:firstLineChars="300"/>
        <w:rPr>
          <w:rFonts w:hint="eastAsia" w:ascii="仿宋" w:hAnsi="仿宋" w:eastAsia="仿宋"/>
        </w:rPr>
      </w:pPr>
    </w:p>
    <w:p>
      <w:pPr>
        <w:ind w:right="-320" w:rightChars="-100"/>
        <w:rPr>
          <w:rFonts w:hint="eastAsia" w:ascii="仿宋" w:hAnsi="仿宋" w:eastAsia="仿宋"/>
        </w:rPr>
      </w:pPr>
      <w:bookmarkStart w:id="52" w:name="_GoBack"/>
      <w:bookmarkEnd w:id="52"/>
    </w:p>
    <w:p>
      <w:pPr>
        <w:ind w:right="-320" w:rightChars="-100"/>
        <w:rPr>
          <w:rFonts w:hint="eastAsia" w:ascii="仿宋" w:hAnsi="仿宋" w:eastAsia="仿宋"/>
        </w:rPr>
      </w:pPr>
    </w:p>
    <w:p>
      <w:pPr>
        <w:ind w:right="-320" w:rightChars="-100"/>
        <w:rPr>
          <w:rFonts w:hint="eastAsia" w:ascii="仿宋" w:hAnsi="仿宋" w:eastAsia="仿宋"/>
        </w:rPr>
      </w:pPr>
    </w:p>
    <w:p>
      <w:pPr>
        <w:ind w:right="-320" w:rightChars="-100"/>
        <w:rPr>
          <w:rFonts w:hint="eastAsia" w:ascii="仿宋" w:hAnsi="仿宋" w:eastAsia="仿宋"/>
        </w:rPr>
      </w:pPr>
    </w:p>
    <w:p>
      <w:pPr>
        <w:ind w:right="-320" w:rightChars="-100"/>
        <w:rPr>
          <w:rFonts w:hint="eastAsia" w:ascii="仿宋" w:hAnsi="仿宋" w:eastAsia="仿宋"/>
        </w:rPr>
      </w:pPr>
    </w:p>
    <w:p>
      <w:pPr>
        <w:ind w:right="-320" w:rightChars="-100"/>
        <w:rPr>
          <w:rFonts w:hint="eastAsia" w:ascii="仿宋" w:hAnsi="仿宋" w:eastAsia="仿宋"/>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7</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30FDA"/>
    <w:rsid w:val="07C01701"/>
    <w:rsid w:val="147507EA"/>
    <w:rsid w:val="1A4C1645"/>
    <w:rsid w:val="1F0B728B"/>
    <w:rsid w:val="21FF6E47"/>
    <w:rsid w:val="2CF23198"/>
    <w:rsid w:val="31B427F1"/>
    <w:rsid w:val="41B30DD8"/>
    <w:rsid w:val="43D536B4"/>
    <w:rsid w:val="453E7093"/>
    <w:rsid w:val="473F7482"/>
    <w:rsid w:val="4E4B06FE"/>
    <w:rsid w:val="4F5D65E4"/>
    <w:rsid w:val="512B5C7D"/>
    <w:rsid w:val="53F0758E"/>
    <w:rsid w:val="56412214"/>
    <w:rsid w:val="591A67B5"/>
    <w:rsid w:val="5995301C"/>
    <w:rsid w:val="64C025B1"/>
    <w:rsid w:val="67531AC6"/>
    <w:rsid w:val="78295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1"/>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rFonts w:eastAsia="仿宋"/>
      <w:b/>
      <w:kern w:val="44"/>
      <w:sz w:val="32"/>
    </w:rPr>
  </w:style>
  <w:style w:type="paragraph" w:styleId="5">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仿宋"/>
      <w:b/>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eastAsia="宋体" w:cs="Times New Roman"/>
    </w:rPr>
  </w:style>
  <w:style w:type="paragraph" w:styleId="3">
    <w:name w:val="Body Text"/>
    <w:basedOn w:val="1"/>
    <w:next w:val="1"/>
    <w:qFormat/>
    <w:uiPriority w:val="0"/>
    <w:pPr>
      <w:widowControl/>
      <w:spacing w:before="100" w:beforeAutospacing="1" w:after="100" w:afterAutospacing="1"/>
      <w:jc w:val="left"/>
    </w:pPr>
    <w:rPr>
      <w:rFonts w:ascii="宋体" w:hAnsi="宋体" w:cs="宋体"/>
      <w:kern w:val="0"/>
      <w:sz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toc 1"/>
    <w:basedOn w:val="1"/>
    <w:next w:val="1"/>
    <w:unhideWhenUsed/>
    <w:qFormat/>
    <w:uiPriority w:val="39"/>
    <w:pPr>
      <w:widowControl/>
      <w:spacing w:after="100" w:line="276" w:lineRule="auto"/>
      <w:jc w:val="left"/>
    </w:pPr>
    <w:rPr>
      <w:rFonts w:eastAsia="仿宋" w:asciiTheme="minorAscii" w:hAnsiTheme="minorAscii" w:cstheme="minorBidi"/>
      <w:kern w:val="0"/>
      <w:sz w:val="32"/>
    </w:rPr>
  </w:style>
  <w:style w:type="paragraph" w:styleId="8">
    <w:name w:val="toc 2"/>
    <w:basedOn w:val="1"/>
    <w:next w:val="1"/>
    <w:qFormat/>
    <w:uiPriority w:val="0"/>
    <w:pPr>
      <w:ind w:left="420" w:leftChars="200"/>
    </w:pPr>
  </w:style>
  <w:style w:type="paragraph" w:styleId="9">
    <w:name w:val="Title"/>
    <w:basedOn w:val="1"/>
    <w:next w:val="1"/>
    <w:qFormat/>
    <w:uiPriority w:val="0"/>
    <w:pPr>
      <w:spacing w:before="240" w:after="60"/>
      <w:jc w:val="center"/>
      <w:outlineLvl w:val="0"/>
    </w:pPr>
    <w:rPr>
      <w:rFonts w:eastAsia="宋体" w:asciiTheme="majorHAnsi" w:hAnsiTheme="majorHAnsi" w:cstheme="majorBidi"/>
      <w:b/>
      <w:bCs/>
      <w:szCs w:val="32"/>
    </w:r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paragraph" w:customStyle="1" w:styleId="13">
    <w:name w:val="正文缩进 + 首行缩进:  2 字符"/>
    <w:basedOn w:val="1"/>
    <w:qFormat/>
    <w:uiPriority w:val="0"/>
    <w:pPr>
      <w:spacing w:line="560" w:lineRule="exact"/>
      <w:ind w:firstLine="640"/>
    </w:pPr>
    <w:rPr>
      <w:rFonts w:ascii="仿宋" w:hAnsi="仿宋" w:eastAsia="仿宋" w:cs="宋体"/>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2022-09-06T02:49:00Z</dcterms:created>
  <dc:creator>ICBC</dc:creator>
  <cp:lastModifiedBy>ICBC</cp:lastModifiedBy>
  <dcterms:modified xsi:type="dcterms:W3CDTF">2023-09-08T02:20:54Z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